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līdz 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informatīvais ziņojums “Veselības darbaspēka attīstības stratēģija līdz 2029.gadam” (turpmāk – informatīvais ziņojums)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pielikuma 2. tabulas 2.1. uzdevums paredz Datu valsts inspekciju kā iesaistīto institūciju minētā uzdevuma izpildē. Vēršam uzmanību, ka atbilstoši Fizisko personu datu apstrādes likuma 3. pantam Datu valsts inspekcija ir neatkarīga iestāde. Ievērojot minēto, piedāvājam informatīvo ziņojumu un tajā minēto uzdevumu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07.03.2024.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07.03.2024.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Atzinumi_23-TA-3308.docx</dc:title>
</cp:coreProperties>
</file>

<file path=docProps/custom.xml><?xml version="1.0" encoding="utf-8"?>
<Properties xmlns="http://schemas.openxmlformats.org/officeDocument/2006/custom-properties" xmlns:vt="http://schemas.openxmlformats.org/officeDocument/2006/docPropsVTypes"/>
</file>