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 ir papildināta ar informāciju par to, ka "pasākuma ietvaros komercdarbības atbalsts var tikt sniegts arī saskaņā ar jauno VTNP lēmumu", taču skaidrojam, ka šī pasākuma izstrādes laikā anotācijā ir bijis skaidri norādīts, ka atbalstu sniegs ar Lēmumu 2012/21/ES. Lai būtu skaidrs arī šobrīd, ka šī pasākuma ietvaros atbalstu saskaņā ar Lēmumu (ES) 2012/21/ES var saņemt arī subjekti, kam jau ir noslēgts pilnvarojuma akts atbilstoši Lēmumam (ES) 2025/2630, un ka atsauces neesamība pilnvarojuma aktā uz Lēmumu (ES) 2012/21/ES nav šķērslis, lai piešķirtu atbalstu saskaņā ar Lēmumu (ES) 2012/21/ES, aicinām anotācijā iekļaut atrunu, ka atbalstu saskaņā ar Lēmumu (ES) 2012/21/ES var saņemt arī subjekti, kam noslēgts pilnvarojuma akts ar Lēmumu (ES) 2025/2630, ievērojot Lēmuma (ES) 2012/21/ES noteikumus, labojot tekstu, ka atbalstu šī pasākuma ietvaros var saņemt ar jauno VTNP lēmumu. Lai atbalstu varētu saņemt šajā pasākumā ar Lēmumu (ES) 2025/2630, būtu jāveic grozījumi pasākuma noteikumu tekstā (un anotācijas atbilstības izvērtējuma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 punktu, norādot likumā “Par valsts budžetu 2026. gadam un budžeta ietvaru 2026., 2027. un 2028. gadam” Veselības ministrijas pamatbudžeta apakšprogrammā 62.09.00. „Eiropas Reģionālās attīstības fonda (ERAF) projekti (2021-2027)” un Finanšu ministrijas budžeta apakšprogrammā 62.10.00 “Eiropas Reģionālās attīstības fonda (ERAF) avansa maksājumi un atmaksas finansējuma saņēmējiem (2021 - 2027)” noteikumu projektā paredzēto pasākumu īstenošanai plānoto finansējumu  2026-2028.gadam ik gadu, kā arī plānoto finansējumu mērķa griestos 2029.gadam, t.i. plānoto finansējumu norādot katrai ministrijas apakšprogrammai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un 2.punkta, kā arī 1.1. un 2.1. apakšpunkta 8. ailē “2029 izmaiņas, salīdzinot ar vidēja termiņa budžeta ietvaru” norādītās summas, jo tās ( t.i. 44 484 255 euro + 67 123 364 euro= 111 607 619 euro) neveido anotācijas 3.sadaļas 6.punktā 2029.gadam norādīto izdevumu apmēru (67 123 364 euro).  Attiecīgi precizējama informācija 8. ailes 3. un 5.punktā, kā arī 3.1. un 5.1.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Šo noteikumu pielikuma 2.2. ailē minētais finansējuma saņēmējs projekta īstenošanas laikā var saņemt  avansa maksājumu saskaņā ar pakalpojumu, preču piegādes vai būvdarbu līgumu un normatīvo aktu par valsts budžeta līdzekļu plānošanas kārtību Eiropas Savienības fondu projektu īstenošanai un maksājumu veikšanai 2021.–2027. gada plānošanas periodā. Sadarbības iestāde, pamatojoties uz finansējuma saņēmēja pieprasījumu un atbilstoši projekta plānoto maksājumu pieprasījumu iesniegšanas grafikam, veic avansa un starpposma maksājumus, kuru kopsumma var pārsniegt 90 procentus no projektam piešķirtā Eiropas Reģionālās attīstības fonda finansējuma. Avansu var izmaksāt vairākos maksājumos saskaņā ar iepirkuma līgumiem un normatīvajiem aktiem par budžeta līdzekļu plānošanu.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izsekojamībai un skaidrai tiesību normas uztverei precizēt noteikumu projekta 53.</w:t>
            </w:r>
            <w:r w:rsidR="00000000" w:rsidRPr="00000000" w:rsidDel="00000000">
              <w:rPr>
                <w:vertAlign w:val="superscript"/>
                <w:rtl w:val="0"/>
              </w:rPr>
              <w:t xml:space="preserve">1 </w:t>
            </w:r>
            <w:r w:rsidR="00000000" w:rsidRPr="00000000" w:rsidDel="00000000">
              <w:rPr>
                <w:rtl w:val="0"/>
              </w:rPr>
              <w:t xml:space="preserve">punktu, izsakot to piedāvātajā redakcijā, vai papildinot noteikumu 53.punktu ar izņēmumu par šo noteikumu 2.2. ailē minēto finansējuma saņēmēju.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gan starpposma, gan avansa maksājumus  Eiropas Savienības fondos veic pamatojoties uz Ministru kabineta  2023. gada 25. aprīļa noteikumiem Nr.205 “Valsts budžeta līdzekļu plānošanas kārtība Eiropas Savienības fondu projektu īstenošanai un maksājumu veikšanai 2021.–2027. gada plānošanas periodā”, konkrētā specifiskā atbalsta mērķa Ministru kabineta noteikumiem un līguma vai vienošanās par projekta īstenošanu pamata, ievērojot faktisko izdevumu pamatotību. Papildus tam no minēto noteikumu 8.1. apakšpunkta jau izriet, ka starpposma maksājumu veic, pamatojoties uz projektā veiktajiem izdevumiem, tai skaitā uz avansa maksājumiem, saskaņā ar pakalpojumu, preču piegādes vai būvdarbu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1 </w:t>
            </w:r>
            <w:r w:rsidR="00000000" w:rsidRPr="00000000" w:rsidDel="00000000">
              <w:rPr>
                <w:rtl w:val="0"/>
              </w:rPr>
              <w:t xml:space="preserve">Šo noteikumu pielikuma 2.2. ailē minētais finansējuma saņēmējs projekta īstenošanas laikā var saņemt avansa un starpposma maksājumu, kuru kopsumma var pārsniegt 90 procentus no projektam piešķirtā Eiropas Reģionālās attīstības fonda finansējuma           un valsts budžeta līdzfinansējuma. Avansu var izmaksāt vairākos maksājumos saskaņā ar iepirkuma līgumiem un normatīvajiem aktiem par budžeta līdzekļu plānošanu.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25-TA-3060</w:t>
    </w:r>
    <w:r>
      <w:br/>
    </w:r>
    <w:r w:rsidR="00000000" w:rsidRPr="00000000" w:rsidDel="00000000">
      <w:rPr>
        <w:rtl w:val="0"/>
      </w:rPr>
      <w:t xml:space="preserve">Izdrukāts 04.02.2026.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25-TA-3060</w:t>
    </w:r>
    <w:r>
      <w:br/>
    </w:r>
    <w:r w:rsidR="00000000" w:rsidRPr="00000000" w:rsidDel="00000000">
      <w:rPr>
        <w:rtl w:val="0"/>
      </w:rPr>
      <w:t xml:space="preserve">Izdrukāts 04.02.2026.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Atzinumi_25-TA-3060.docx</dc:title>
</cp:coreProperties>
</file>

<file path=docProps/custom.xml><?xml version="1.0" encoding="utf-8"?>
<Properties xmlns="http://schemas.openxmlformats.org/officeDocument/2006/custom-properties" xmlns:vt="http://schemas.openxmlformats.org/officeDocument/2006/docPropsVTypes"/>
</file>