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Parlamenta un Padomes Regulu (ES) 2023/2854 par saskaņotiem noteikumiem par taisnīgu piekļuvi datiem un to lietošanu un ar ko groza Regulu (ES) 2017/2394 un Direktīvu (ES) 2020/1828 (Datu akts) prasību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neiebilst pret informatīvajā ziņojumā ietverto mēnešalgas apmēru jaunas amata vietas izveidei Datu valsts inspekcijā, taču vienlaikus norādāms, ka pārējo atlīdzības elementu izmantošanai ir piemērojams apmērs, kāds ir noteikts "Vadlīnijas tiesību akta projekta sākotnējās ietekmes novērtēšanai un novērtējuma ziņojuma sagatavošanai TAP", kas pieejams https://www.mk.gov.lv/lv/administrativa-sloga-un-normativisma-mazinasana . Ņemot vērā minēto lūdzam attiecīgi precizēt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ieviešot jauno atlīdzības reformu, tās mērķis ir nodarbinātajam primāri noteikt konkurētspējīgu mēnešalgu un tikai izteiktas nepieciešamības gadījumā izmantot piemaksas.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atbalstīt divu amata vietu izveidošanu Vides aizsardzības un reģionālās attīstības ministrijai un vienas amata vietas izveidošanu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tādējādi palielinot nodarbināto skaitu valsts pārvaldē kopumā. Vienlaikus vēršam uzmanību, ka ir lietderīgi un mērķtiecīgi pārvērtēt esošo funkciju un uzdevumu izpildes apmēru, efektivizējot darba procesus. Vēlamies norādīt, ka atbilstoši iestāžu sniegtajiem datiem Atlīdzības uzskaites sistēmā (marts 2024) Vides aizsardzības un reģionālās attīstītības ministrijā kopumā vakantas ir 23 slodzes (netiek ieskatīti amati projektos uz laiku ar klasifikatoru PI un PD), turklāt 4 amata vietas ir vakantas vairāk nekā 12 mēnešus. Kopumā VARAM resorā ir vakantas 63 amata slodzes (neskaitot PI un PD amatus), bet vairāk nekā 12 mēnešus vakantas ir 8 amata slodzes. Attiecībā uz Datu valsts inspekciju norādāms, ka uz 30.03.2024. vakantas ir 4 amata slodzes, no kurām 1 ir vakanta vairāk kā 12 mēnešus. Rosinām neveidot jaunas amata vietas, bet gan izmantot jau esošos vakantos amatus gan iestādē, gan arī resorā kopumā (t.sk. vērtējot vai nepieciešams turēt vakantu amatu 12 mēnešus un vairāk) un restrukturizējot jau esošās vakantas amata vietas nodrošinot jaunu funkciju un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23.05.2024.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23.05.2024.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Atzinumi_24-TA-1168.docx</dc:title>
</cp:coreProperties>
</file>

<file path=docProps/custom.xml><?xml version="1.0" encoding="utf-8"?>
<Properties xmlns="http://schemas.openxmlformats.org/officeDocument/2006/custom-properties" xmlns:vt="http://schemas.openxmlformats.org/officeDocument/2006/docPropsVTypes"/>
</file>