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 energosnieguma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vai pārbūvei, kas paredz pasākumu īstenošanu vairākos posmos un būtisku ēkas energosnieguma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ēkas dzīves cikla globālās sasilšanas potenciāls – ēkas radīto siltumnīcefekta gāzu emisiju kopējā ietekme uz globālo sasilšanu visā ēkas dzīves ciklā, tostarp būvizstrādājumu ražošanā un transportēšanā, būvdarbu veikšanā, ēkas ekspluatācijā,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energosnieguma sertifikāts – dokuments, kurā raksturota ēkas vai ēkas daļas energosniegums, kas noteikts saskaņā ar normatīvajos aktos ēku energoefektivitātes jomā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energosnieguma līmenis, kas nodrošina viszemākās kopējās izmaksas aplēstajā ēkas vai būves elementa kalpošanas laikā, ņemot vērā ar energosniegumu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energosnieguma pakalpojumus - telpu apsildi,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iepriekš izteikto iebildumu. Termins "enerģijas patēriņš" pēc būtības ir plašs un var tikt attiecināts uz enerģijas izmantošanu dažādās nozarēs un darbības jomās. Papildinot terminu ar norādi "ēkās", jau definīcijas līmenī tiek nepārprotami noteikta tā piemērošanas joma, skaidri norādot, ka tas attiecas uz enerģijas patēriņu ēku sektorā. Vienlaikus šāds formulējums veicina terminoloģisko konsekvenci likumā, saskaņojot to ar citiem uz ēkām attiecināmiem jēdzieniem, piemēram, ēkas energosniegumu un ēkas energoefektivitāti. Šāda pieeja atbilst normatīvo aktu izstrādes praksei, paredzot termina tvēruma precizēšanu gadījumos, kad bez papildu apzīmējuma tas varētu tikt interpretēts pārāk plaši.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norādīts, ka ar 3.</w:t>
            </w:r>
            <w:r w:rsidR="00000000" w:rsidRPr="00000000" w:rsidDel="00000000">
              <w:rPr>
                <w:vertAlign w:val="superscript"/>
                <w:rtl w:val="0"/>
              </w:rPr>
              <w:t xml:space="preserve">1</w:t>
            </w:r>
            <w:r w:rsidR="00000000" w:rsidRPr="00000000" w:rsidDel="00000000">
              <w:rPr>
                <w:rtl w:val="0"/>
              </w:rPr>
              <w:t xml:space="preserve"> pantu pilnībā ir pārņemta Direktīvas (ES) 2023/1791 6. panta 4. daļa, kas paredz, ka dalībvalstis var ikgadējās renovācijas normā ieskaitīt jaunas publisko struktūru īpašumā esošas ēkas, kas aizstāj iepriekšējo divu gadu laikā nojauktas publisko struktūru ēkas, ja tas ir izmaksu ziņā lietderīgāks un nodrošina lielāku enerģijas ietaupījumu un dzīves cikla CO₂ emisiju samazinājumu salīdzinājumā ar attiecīgo ēku renovāciju.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 paredz dalībvalsts pienākumu skaidri noteikt un publicēt vispārīgos kritērijus, metodiku un procedūras šādu izņēmuma gadījumu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 lūdz papildināt likumprojekta 3.</w:t>
            </w:r>
            <w:r w:rsidR="00000000" w:rsidRPr="00000000" w:rsidDel="00000000">
              <w:rPr>
                <w:vertAlign w:val="superscript"/>
                <w:rtl w:val="0"/>
              </w:rPr>
              <w:t xml:space="preserve">1</w:t>
            </w:r>
            <w:r w:rsidR="00000000" w:rsidRPr="00000000" w:rsidDel="00000000">
              <w:rPr>
                <w:rtl w:val="0"/>
              </w:rPr>
              <w:t xml:space="preserve"> panta sesto daļu ar deleģējumu iepriekšminēto kritēriju, termiņu, metodikas un procedūru izstrādei un publiskošanai, lai nodrošinātu pilnīgu un tiesiski skaidru direktīvas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w:t>
            </w:r>
            <w:r w:rsidR="00000000" w:rsidRPr="00000000" w:rsidDel="00000000">
              <w:rPr>
                <w:vertAlign w:val="superscript"/>
                <w:rtl w:val="0"/>
              </w:rPr>
              <w:t xml:space="preserve">1</w:t>
            </w:r>
            <w:r w:rsidR="00000000" w:rsidRPr="00000000" w:rsidDel="00000000">
              <w:rPr>
                <w:rtl w:val="0"/>
              </w:rPr>
              <w:t xml:space="preserve"> panta pirmajā daļā publiskā sektora subjektu ēku atjaunošanas apjoma noteikšana un izpildes nodrošināšana paredzēta ministriju un pašvaldību līmenī, ietverot attiecīgās ministrijas vai pašvaldības, kā arī to pakļautībā vai pārraudzībā esošo publiskā sektora subjektu īpašumā esošās ēkas. Šāds regulējums neaptver atvasinātās publiskās personas, kuras neatrodas ministriju vai pašvaldību pakļautībā vai pārraudzībā, un neatkarīgās institūcijas, kas nav pakļautas Ministru kabinetam vai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 tiks nodrošināta Eiropas Parlamenta un Padomes Direktīvas (ES) 2023/1791 prasību piemērošana attiecībā uz to publiskā sektora subjektu īpašumā esošajām ēkām, kuras pieder atvasinātajām publiskajām personām vai neatkarīgajām institūcijām un kuras neietilpst ministriju vai pašvaldību pārvaldības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regulējuma tvērumu un izvairītos no interpretācijas riskiem, būtu izvērtējams, vai regulējumā nav nepieciešams atsevišķi noteikt pienākumus attiecībā uz atvasināto publisko personu un neatkarīgo institūciju īpašumā esošajām ēkām vai precizēt publiskā sektora subjektu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ēkas netiek iekļautas, lūdzam papildināt anotāciju ar attiecīgu skaidrojumu, tai skaitā par šo ēku iekļaušanu kopējā publiskā sektora subjektu ēku sarakstā, ietekmi uz 3% renovācijas mērķi un vai šīs ēkas varēs saņemt atbalstu no publiskā finansējuma, piemēram, atbalsta programmām publiskā sektora ēku renovācijai.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īpašumā esošo ēku atjaunošanas apjomu nosaka un tā izpildi nodrošina ministrijas vai pašvaldības līmenī, ņemot vērā attiecīgās ministrijas vai pašvaldības, kā arī to pakļautībā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Katru gadu atjauno vismaz trīs procentus no attiecīgās ministrijas vai pašvaldības līmenī noteiktās publiskā sektora subjektu īpašumā esošo ēku kopējās platības, lai tās pēc atjaunošanas atbilstu vismaz gandrīz nulles enerģijas ēkas prasībām. Kopējā platībā ieskaita ēkas, kuru platība pārsniedz 250 kvadrātmetrus un kuras 2024. gada 1. janvārī neatbilda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ieskaita attiecīgās ministrijas vai pašvaldības līmenī noteiktajā publiskā sektora subjektu īpašumā esošo ēku kopējā platībā arī tad, ja šo ēku tehniski, ekonomiski vai funkcionāli nav iespējams atjaunot tā, lai tā pēc atjaunošanas atbilstu vismaz gandrīz nulles enerģijas ēkas prasībām, izņemot ja uz to attiecas šajā likumā noteiktie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attiecīgajā gadā ministrijas vai pašvaldības līmenī atjaunotā publiskā sektora subjektu īpašumā esošo ēku kopējā platība pārsniedz šā panta otrajā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otrajā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izveido, uztur, ne retāk kā reizi divos gados aktualizē un savā tīmekļvietnē publicē publiskā sektora subjektu īpašumā esošo ēku sarakstu. Sarakstā iekļauj ēkas, kuru kopējā platība pārsniedz 250 kvadrātmetrus, norādot vismaz ēkas kopējo platību, gada enerģijas patēriņu un energosnieguma sertifikātā norādīto ēkas energosnieguma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astotajā 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3.</w:t>
            </w:r>
            <w:r w:rsidR="00000000" w:rsidRPr="00000000" w:rsidDel="00000000">
              <w:rPr>
                <w:vertAlign w:val="superscript"/>
                <w:rtl w:val="0"/>
              </w:rPr>
              <w:t xml:space="preserve">1</w:t>
            </w:r>
            <w:r w:rsidR="00000000" w:rsidRPr="00000000" w:rsidDel="00000000">
              <w:rPr>
                <w:rtl w:val="0"/>
              </w:rPr>
              <w:t xml:space="preserve"> panta astotajā daļā iekļauto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Publiskā sektora subjekti sniedz Būvniecības valsts kontroles birojam šā panta </w:t>
            </w:r>
            <w:r w:rsidR="00000000" w:rsidRPr="00000000" w:rsidDel="00000000">
              <w:rPr>
                <w:b w:val="1"/>
                <w:rtl w:val="0"/>
              </w:rPr>
              <w:t xml:space="preserve">septītajā </w:t>
            </w:r>
            <w:r w:rsidR="00000000" w:rsidRPr="00000000" w:rsidDel="00000000">
              <w:rPr>
                <w:rtl w:val="0"/>
              </w:rPr>
              <w:t xml:space="preserve">daļā minētā saraksta izveidei, uzturēšanai un aktualizēšanai, kā arī šā panta otrajā daļā noteiktā ikgadējā atjaunošanas apjoma izpildes uzraudzībai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09.06.2026.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