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aiz II nodaļas nosaukuma "Paredzētās darbības pieteikšana" ar 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w:t>
            </w:r>
            <w:r w:rsidR="00000000" w:rsidRPr="00000000" w:rsidDel="00000000">
              <w:rPr>
                <w:b w:val="1"/>
                <w:vertAlign w:val="superscript"/>
                <w:rtl w:val="0"/>
              </w:rPr>
              <w:t xml:space="preserve">2</w:t>
            </w:r>
            <w:r w:rsidR="00000000" w:rsidRPr="00000000" w:rsidDel="00000000">
              <w:rPr>
                <w:b w:val="1"/>
                <w:rtl w:val="0"/>
              </w:rPr>
              <w:t xml:space="preserve"> Konsultācijas ar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paredzētā darbība neatbilst attiecīgās pašvaldības teritorijas plānojumam vai lokālplānojumam vai ierosinātājam ir šaubas par paredzētās darbības atbilstību, ierosinātājs pirms paredzētās darbības pieteikšanas Valsts vides dienestā vai kompetentajā institūcijā konsultējas ar pašvaldību par paredzētās darbības īstenošanas iespējām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izvērtē paredzēto darbību un sniedz ierosinātājam rakstveida informāciju par paredzētās darbības atbilstību vai neatbilstību teritorijas plānojumam vai lokālplānojumam, kā arī sniedz viedokli par to, vai pašvaldība konceptuāli atbalsta paredzētās darbības īstenošanu. Ja paredzētā darbība neatbilst teritorijas plānojumam vai lokālplānojumam, bet pašvaldība konceptuāli atbalsta paredzētās darbības īstenošanu un plāno uzsākt nepieciešamo teritorijas plānojuma grozījumu vai lokālplānojuma izstrādi, tā aicina paredzētās darbības ierosinātāju rosināt teritorijas plānojuma grozījumu vai lokālplānojuma izstrādes uzsākšanu. Ja pašvaldība konceptuāli atbalsta paredzētās darbības īstenošanu, pašvaldība pēc nepieciešamās informācijas saņemšanas Teritorijas attīstības plānošanas likumā noteiktajā kārtībā pieņem lēmumu par nepieciešamo teritorijas plānojuma grozījumu vai lokālplānojuma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Konsultācijas ar pašvaldību nav nepieciešamas paredzētajām darbībām, kuras atbilst attiecīgās pašvaldības teritorijas plānojumam vai lokāplānojumam, paredzētajām darbībām, kuras saistītas ar transporta un elektronisko sakaru tīklu un enerģijas pārvades būvju būvniecību, paredzētajām darbībām, kuras ar likumu atzītas par nepieciešamām sevišķi svarīgu sabiedrības interešu nodrošināšanai, paredzētajām darbībām, kuras noteiktas nacionāla līmeņa plānošanas dokumentā, kā arī paredzētajām darbībām Latvijas Republikas iekšējos jūras ūdeņos, teritoriālajā jūrā vai ekskluzīvajā ekonomiskajā zonā, paredzētajām darbībām, kas ar likumu atzītas par nepieciešamām sevišķi svarīgu sabiedrības interešu nodrošināšanai, kā arī nacionālo interešu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plānojuma vai lokālplānojuma izstrāde ir stingri reglamentēts process, kurā ietvaros tiek līdzsvarotas sabiedrības, uzņēmumu, pašvaldības un citu grupu intereses. Lēmumu pieņem attiecīgās pašvaldības dome saistošo noteikumu veidā. Joprojām nav saprotams kurš un kādā veidā no pašvaldības puses sniegs viedokli par konceptuālu atbalstu paredzētai darbībai, ja tā neatbilst attiecīgās pašvaldības teritorijas plānojumam vai lokālplānojumam, kā arī pieņems lēmumu par lokālplānojuma izstrādes nepieciešamību. Gadījumā, ja paredzēta darbība neatbilst attiecīgās pašvaldības teritorijas plānojumam vai lokālplānojumam, nekustamā īpašuma īpašniekam arī šobrīd ir tiesības vērsties pašvaldībā ar lokālplānojuma ierosinājumu. Ar brīdi, kad pašvaldība pieņem lēmumu par lokālplānojuma izstrādi, tā pauž viedokli, ka šāda darbība ir iespējama pašvaldības teritorijā, bet gala lēmums jebkurā gadījumā ir atkarīgs no lokālplānojuma izstrādes ietvaros konstatētajiem faktiskajiem un tiesiskajiem apstākļiem, teritorijas analīzes rezultātiem, institūciju atzinumiem un sabiedrības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neviens neliedz attīstītājiem arī šobrīd konsultēties ar pašvaldību.  Tādējādi nav saprotams, kāpēc šī norma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uzturam spēkā iepriekš izteikto iebildumu, kas attiecas uz to, ka transporta un elektronisko sakaru tīklu un  enerģijas pārvades būvju būvniecība ir uzskatāma par izņēmumu.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Ierosinātājs paredzēto darbību, kas minēta šā likuma 4.panta pirmās daļas 1., 3., 4. un 5.punktā, piesaka kompetentajai institūcijai, iesniedzot rakstveida iesniegumu, kurā norāda, vai paredzētā darbība atbilst attiecīgās pašvaldības teritorijas plānojumam vai lokālplānojumam, kā arī sniedz vismaz divus dažādus risinājumus attiecībā uz paredzētās darbības vietu vai izmantojamo tehnoloģiju veidiem. Ja par paredzēto darbību ir notikušas konsultācijas ar pašvaldību saskaņā ar šā likuma 6.</w:t>
            </w:r>
            <w:r w:rsidR="00000000" w:rsidRPr="00000000" w:rsidDel="00000000">
              <w:rPr>
                <w:vertAlign w:val="superscript"/>
                <w:rtl w:val="0"/>
              </w:rPr>
              <w:t xml:space="preserve">2</w:t>
            </w:r>
            <w:r w:rsidR="00000000" w:rsidRPr="00000000" w:rsidDel="00000000">
              <w:rPr>
                <w:rtl w:val="0"/>
              </w:rPr>
              <w:t xml:space="preserve"> pantu, ierosinātājs iesniegumam pievieno pašvaldības sniegto informāciju. Ja paredzētā darbība neatbilst attiecīgās pašvaldības teritorijas plānojumam vai lokālplānojumam, ierosinātājs iesniegumā norāda datumu, kad attiecīgā pašvaldība pieņēmusi lēmumu par nepieciešamo teritorijas plānojuma grozījumu vai lokālplānojuma izstrādes uzsākšanu. Ja paredzētā darbība atbilst kādam no šā likuma 6.</w:t>
            </w:r>
            <w:r w:rsidR="00000000" w:rsidRPr="00000000" w:rsidDel="00000000">
              <w:rPr>
                <w:vertAlign w:val="superscript"/>
                <w:rtl w:val="0"/>
              </w:rPr>
              <w:t xml:space="preserve">2</w:t>
            </w:r>
            <w:r w:rsidR="00000000" w:rsidRPr="00000000" w:rsidDel="00000000">
              <w:rPr>
                <w:rtl w:val="0"/>
              </w:rPr>
              <w:t xml:space="preserve"> panta trešajā daļā minētajiem gadījumiem, ierosinātājs to norāda iesniegumā."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šī panta redakcijas atbalstīšanu vai noraidīšanu attiecībā uz to, pieņems LPS valde šī gada 28. janvāra sēdē. LPS valdes lēmumu KEM nosūtīs līdz 29. janvārim.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ierosinātājs pieprasa pašvaldībai nosūtīt šā panta pirmajā daļā minēto paziņojumu, pašvaldība, pamatojoties uz ierosinātāja sniegto informāciju par paredzētās darbības teritorijai līdzās izvietoto nekustamo īpašumu kadastra datiem, mēneša laikā nosūta minēto paziņojumu prioritārā secībā uz nekustamā īpašuma īpašnieka (valdītāja) oficiālo elektronisko adresi, saziņai ar pašvaldību norādīto elektroniskā pasta adresi, deklarēto dzīvesvietas adresi vai norādīto adresi saziņai ar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Ierosinātājs elektroniski iesniedz šā panta pirmajā daļā minēto paziņojumu kompetentajai institūcijai un attiecīgajai pašvaldībai, kā arī publicē paziņojumu vismaz vienā vietējā laikrakstā. Ierosinātājs iesniedz paziņojumu kompetentajai institūcijai un attiecīgajai pašvaldībai ne agrāk kā izpildīts šā panta pirmajā daļā vai 1.</w:t>
            </w:r>
            <w:r w:rsidR="00000000" w:rsidRPr="00000000" w:rsidDel="00000000">
              <w:rPr>
                <w:vertAlign w:val="superscript"/>
                <w:rtl w:val="0"/>
              </w:rPr>
              <w:t xml:space="preserve">1</w:t>
            </w:r>
            <w:r w:rsidR="00000000" w:rsidRPr="00000000" w:rsidDel="00000000">
              <w:rPr>
                <w:rtl w:val="0"/>
              </w:rPr>
              <w:t xml:space="preserve"> daļā minētais paziņojuma nosūtīšanas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Kompetentā institūcija un pašvaldība triju darbdienu laikā pēc paziņojuma saņemšanas ievieto paziņojumu savā tīmekļvietnē. Pašvaldība tās pašas dienas laikā informē kompetento institūciju un ierosinātāju par paziņojuma ievietošanu savā tīmekļvietnē, nosūtot saiti uz publicēto paziņojumu. Ikviena persona 20 dienu laikā pēc paziņojuma publicēšanas pašvaldības tīmekļvietnē ir tiesīga sniegt rakstveida priekšlikumus par aspektiem, kas jāvērtē ietekmes novērtējuma procesā. Ja 20 dienu laikā pēc paziņojuma publicēšanas pašvaldības tīmekļvietnē pašvaldība izdod laikrakstu vai informatīvu izdevumu, pašvaldība publicē paziņojumu arī šajā laikrakstā vai informatīvajā izdevumā.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Ierosinātājs iesniedz pašvaldībai sākotnējai sabiedrības informēšanai nepieciešamos dokumentus papīra formā. Pašvaldība nodrošina šo dokumentu pieejamību sabiedrībai sākotnējās sabiedrības informēšanas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pašvaldībām uzlikto papildus pienākumu, vienlaikus nenodrošinot finansējumu tā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normatīvā akta izziņā ir paskaidrots, ka ierosinātājs finansē paredzētās darbības ietekmes novērtējuma procesu, nav saprotams, kādā kārtībā pašvaldība var atgūt ieguldītos finanšu resursus,  kā arī nav vispār ņemts vērā, ka tas ir milzīgs papildu slogs pašvaldības administratīvajiem resursiem. Pie tam, anotācijā ir minēts, ka izmaksas, kuras sedz ierosinātājs, ir tiešās, ar paziņojumu nosūtīšanu tieši saistītas izmaksas, tajās nav iekļaujamas izmaksas par pašvaldības darbinieku darbu vai netiešās izmaksas, piemēram, telpu uzturēšanas vai citas līdzīgas izmaksas. No tā var saprast, ka izdevumi varētu tikt atlīdzināti, piemēram, par pastmarkām un aploksnēm, ja informācija tiek sūtīta uz deklarēto dzīves vietas adresi, bet ne par papildus darbu. Jāņem vērā, ka datu atlase ir laika un darbietilpīga.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Pašvaldību likuma 4. pantā ir noteikts, ka  (5) Nododot pašvaldībai jaunu autonomo funkciju vai uzdevumu, kura izpilde saistīta ar izdevumu palielināšanos, vienlaikus pašvaldībai nosakāmi finansējuma avoti šīs funkcijas vai uzdevuma izpildes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27.01.2025.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27.01.2025.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Atzinumi_24-TA-453.docx</dc:title>
</cp:coreProperties>
</file>

<file path=docProps/custom.xml><?xml version="1.0" encoding="utf-8"?>
<Properties xmlns="http://schemas.openxmlformats.org/officeDocument/2006/custom-properties" xmlns:vt="http://schemas.openxmlformats.org/officeDocument/2006/docPropsVTypes"/>
</file>