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atskaiti par valsts budžeta studiju finansējuma, kuru paredz valsts augstskolas un tās dibinātāja noslēgtais sadarbības un finansēšanas līgums, izlietojumu par pirmo pusgadu – līdz kārtējā gada 15. augustam, par otro pusgadu – līdz nākamā gada 15. februārim;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2.1.1. punktā nenorādīt konkrētus datumus, bet atskaišu iesniegšanu paredzēt atbilstoši noslēgtajiem finansēšanas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7.4. punktā uzlabot formulējumu, nedublējot 7.3. punktā esošo tekstu, bet atsaukties uz 7.3.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augstskola, papildus gada pārskatam, publicē savā tīmekļa vietnē iepriekšējā gada zvērināta revidenta apstiprinātu finanšu pārskatu, stipendiju nolikumu un iekšējos noteikumus, kas nosaka atlīdzības kārtību, personāla politiku un grāmatvedības kārtošanas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 punktu, lai nebūtu jādublē Valsts kasē iesniegto informāciju un jāpublicē visu finanšu pārskatu, kurš ir pieejams publiski Valsts kasē. Faktiski finanšu pārskats sastāv no ļoti liela failu skaita, kā arī grāmatvedības kārtošanas kārtība ir viena no gada pārskata sastāvdaļām – grāmatvedības uzskaites pamatprincipu apraksts. Ministrija anotācijā ir norādījusi, ka viens no mērķiem ir pārstāt pieprasīt vienu un to pašu informāciju vairākas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01.09.2023.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01.09.2023.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