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novērst pretrunu, kas veidojas starp noteikumu projekta mērķi un anotācijas 1.6. sadaļā iekļauto otro rindkopu.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lūdzam šīs sadaļa pirmo teikumu pārcelt uz anotācijas 3.punkta "Tiesību akta projekta ietekme uz valsts budžetu un pašvaldību budžetiem" sadaļu “Cita informācija”.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novērst pretrunu, kas veidojas starp noteikumu projekta mērķi un anotācijas 2.1. sadaļā iekļauto otro rindkopu.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20.05.2023.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20.05.2023.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