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24-TA-1463)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(https://www.mk.gov.lv/lv/ministru-kabineta-darbibu-regulejosie-dokumenti) 163. punkts un 227.1. apakšpunkts uzdod pienākumu vienkāršot nekustamā īpašuma attīstīšanas procesus no teritorijas plānošanas līdz nekustamā īpašuma ierakstīšanai zemesgrāmatā, kā arī īstenot pēc iespējas lielāku procesu automatizāciju, izmantojot valsts informācijas sistēmās pieejamos datus un savstarpēju datu apmaiņu starp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 būves reģistrācijas procesa izstrādi, ieviešot vienotu datu plūsmu sākot no būvniecības ierosinājuma līdz būves ierakstīšanai zemesgrāmatā, kā arī attiecīgi nodrošinot vienota būves reģistrācijas pakalpojuma izstrādi, ir nepieciešami vienoti kritēriji un reģistrējamais datu apjoms par dzīvojamo ēku Nekustamā īpašuma valsts kadastra informācijas sistēmā (turpmāk – Kadastra informācijas sistēma). Saskaņā ar 2024. gada 23. aprīļa grozījumiem Ministru kabineta 2023. gada 7. marta noteikumos Nr. 116 "Būvju kadastrālās uzmērīšanas noteikumi", kas spēkā stājušies 2024. gada 25. aprīlī, viena dzīvokļa dzīvojamai ēkai neveic kadastrālo uzmērīšanu, ja Būvniecības informācijas sistēmā (turpmāk – BIS) ir pieejama informācija par ēkas stāvu plānu ar telpu eksplikāciju DGN vai DWG formātā, izpildmērījuma plāns DGN vai DWG formātā un ēkas fotogrāfijas. Minētie dokumenti un informācija nepieciešami, lai reģistrētu visus datus, kas atbilst faktiskajai situācijai apvidū par ēku Kadastra informācijas sistēmā, kā arī lai aprēķinātu aktuālu ēkas kadastrālo vērtību. No datu uzskaites un reģistrācijas puses visām dzīvojamām ēkām ir jābūt vienādam datu un informācijas komplektam Kadastra informācijas sistēmā, neatkarīgi no būvniecības ieceres veida. Valsts zemes dienests atbalsta, ka rūpnieciski ražotām dzīvojamām ēkām būvniecības process turpmāk tiks virzīts, izmantojot paskaidrojuma rakstu, ja projekts tiek papildināts ar regulējumu, kas paredz BIS iesniegt datu reģistrācijai Kadastra informācijas sistēmā nepieciešamo informāciju, proti, ēkas stāvu plānu ar telpu eksplikāciju DGN vai DWG formātā un ēkas fotoattēliem, tādējādi nodrošinot ērtāku un vienkāršāku datu reģistrācijas procesu, samazinot administratīvo slogu būvniecības ierosinātājam un nepalielinot birokrātisko slogu Valsts zemes dienestam, veicot ēkas stāvu plānu pārrasēšanu no PDF datnēm.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20.2 2. punktu šādā redakcijā:"20.2 2. ēkas jumta un stāvu plānus ar telpu izmēriem un sadalījumu telpu grupās un telpu grupu lietošanas veidu eksplikāciju DGN vai DWG formātā;".    Izteikt noteikumu 157.4. apakšpunktu šādā redakcijā: "157.4. ja veikta jauna būvniecība vai novietošana, papildus pievieno izpildmērījuma plānu DGN vai DWG formātā (ar ēkas novietni, ierīkotiem ārējiem inženiertīkliem un citām vienlaikus būvētām būvēm), izņemot gadījumu, ja veikta sezonas ēkas būvniecība;".     Papildināt noteikumus ar 157.7.apakšpunktu šādā redakcijā:"157.7. šo noteikumu 7.210. apakšpunktā minētajā gadījumā ēkas fotoattēlus (piemēram, JPG un tamlīdzīgos datņu formātos), nodrošinot, ja tas tehniski iespējams, lai attēlos būtu redzamas visas ēkas fasādes."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Balčuna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2. septembra noteikumu Nr.529 "Ēku būvnoteikumi"" (turpmāk – projekts) 1.13. apakšpunkts paredz papildināt Ministru kabineta 2014. gada 2. septembra noteikumu Nr. 529 "Ēku būvnoteikumi" (turpmāk – noteikumi Nr.529) 114.</w:t>
            </w:r>
            <w:r w:rsidR="00000000" w:rsidRPr="00000000" w:rsidDel="00000000">
              <w:rPr>
                <w:vertAlign w:val="superscript"/>
                <w:rtl w:val="0"/>
              </w:rPr>
              <w:t xml:space="preserve">3</w:t>
            </w:r>
            <w:r w:rsidR="00000000" w:rsidRPr="00000000" w:rsidDel="00000000">
              <w:rPr>
                <w:rtl w:val="0"/>
              </w:rPr>
              <w:t xml:space="preserve"> punktu ar vārdiem “vai rūpnieciski ražotas ēkas ražotājs, kurš būvdarbus veic saskaņā ar ražotāja izstrādātu būvdarbu instrukciju”. Vēršam uzmanību, ka šobrīd projektā un noteikumos Nr.529 netiek skaidrota ražotāja izstrādāta būvdarbu instrukcija un tādējādi nav precīzi noteikts šāda regulējuma tvērums. Ievērojot minēto, piedāvājam izvērtēt nepieciešamību regulējumu iekļaut projektā, piemēram, termina “rūpnieciski ražota ēka” skaidrojumā, kā arī izvērstu informāciju par ražotāja izstrādātu būvdarbu instrukciju sniegt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1.15. apakšpunktā ietverto noteikumu Nr.529 238. punktu, lai pārejas regulējums par konkrētā grozījuma ieviešanu būtu korekti identificējams, proti, piedāvājam šo projekta punktu atbilstoši noteikumu Nr.529 107.1. apakšpunkta grozījumam papildināt ar vārdiem un skaitli "kuras kopējā platība nav lielāka par 170 m</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24-TA-1463</w:t>
    </w:r>
    <w:r>
      <w:br/>
    </w:r>
    <w:r w:rsidR="00000000" w:rsidRPr="00000000" w:rsidDel="00000000">
      <w:rPr>
        <w:rtl w:val="0"/>
      </w:rPr>
      <w:t xml:space="preserve">Izdrukāts 22.10.2024.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24-TA-1463</w:t>
    </w:r>
    <w:r>
      <w:br/>
    </w:r>
    <w:r w:rsidR="00000000" w:rsidRPr="00000000" w:rsidDel="00000000">
      <w:rPr>
        <w:rtl w:val="0"/>
      </w:rPr>
      <w:t xml:space="preserve">Izdrukāts 22.10.2024.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Atzinumi_24-TA-1463.docx</dc:title>
</cp:coreProperties>
</file>

<file path=docProps/custom.xml><?xml version="1.0" encoding="utf-8"?>
<Properties xmlns="http://schemas.openxmlformats.org/officeDocument/2006/custom-properties" xmlns:vt="http://schemas.openxmlformats.org/officeDocument/2006/docPropsVTypes"/>
</file>