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Ventspils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Ostu likuma pārejas noteikumu 16. punkta 2. un 4.apakšpunktu un 17. punktu. Satiksmes ministrija pārņemot mantu no Ventspils brīvostas pārvaldes, to iekļauj savā bilancē, savukārt pēc mantas ieguldīšanas akciju sabiedrības “Ventas osta” pamatkapitālā attiecīgo mantu izslēdz no bilances.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izziņas izriet, ka «Satiksmes ministrija ir uzsākusi dialogu ar Ventspils valstspilsētas pašvaldību. Ventspils valstpilsētas pašvaldība ir deleģējusi savus pārstāvjus sarunām. Pašvaldības pārstāvji ir iepazīstināti ar Līdzdalības izvērtējumu par AS «Ventas osta». AS «Ventas osta»  darbības stratēģija tiks izstrādāta pēc Ventspils brīvostas pārvaldes funkciju pārņemšanas.»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vēlreiz ir sazinājusies ar Ventspils valstspilsētas pašvaldību un lūgusi to nosūtīt iepriekš minēto izvērtējumu, kas paskaidroja, ka pašvaldības rīcībā šāda izvērtējuma nav. Līdz ar to </w:t>
            </w:r>
            <w:r w:rsidR="00000000" w:rsidRPr="00000000" w:rsidDel="00000000">
              <w:rPr>
                <w:b w:val="1"/>
                <w:rtl w:val="0"/>
              </w:rPr>
              <w:t xml:space="preserve">LLPA rīcībā joprojām nav no Valsts pārvaldes iekārtas likuma 88. panta otrās daļas izrietošais AS «Ventas osta» dibināšanai paredzētās rīcības izvērtējums</w:t>
            </w:r>
            <w:r w:rsidR="00000000" w:rsidRPr="00000000" w:rsidDel="00000000">
              <w:rPr>
                <w:rtl w:val="0"/>
              </w:rPr>
              <w:t xml:space="preserve">, ietverot arī tās darbības ekonomisko izvērtējumu, kas pamatotu šādas kapitālsabiedrības, kurai valdījumā tiks nodoti ievērojami Ventspils valstspilsētas pašvaldības īpašumi,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LLPA rīcībā joprojām nav AS «Ventas osta» vidējā termiņa attīstības stratēģijas, kas perspektīvā būs nepieciešama Ventspils valstspilsētas pašvaldības domei, lai tā saskaņā ar Publiskas personas kapitāla daļu un kapitālsabiedrību pārvaldības likuma 4. 5. un 49. pantu, ievērojot Valsts pārvaldes iekārtas likuma 88. pantu, varētu lemt par savu iespējamo līdzdalības iegūšanu šajā kapitālsabiedrībā, kas izriet no Ostu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norādām, ka šie jautājumi (vai informācijas norāde par minētajiem dokumentiem, lai LLPA ar tiem varētu iepazīties) ir papildus skaidrojami rīkojuma projekta anotācijā, kā arī anotācijā ir ietverama norāde, ka AS «Ventas osta»  darbības stratēģija tiks izstrādāta tikai pēc Ventspils brīvostas pārvaldes funkciju pārņemšanas, vienlaikus gan LLPA iebilstot, ka šādai stratēģijai sen bija jau jābūt, jo AS «Ventas osta»  ir tikusi reģistrēta jau 2020. gada 13.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izziņas izriet, ka «Konsultācijas ar Eiropas Komisiju turpinās kopš tika uzsākta ostu pārvaldības reforma, gatavoti grozījumi Ostu likumā un citos normatīvos aktos. Konsultācijas joprojām turpinās, jo arī reformas procesā ir dažādas izmaiņas. Līdz ar to Eiropas Komisija nav sniegusi gala atzinumu. Tai pat laikā uzskatām, ka valsts atbalsta regulējums tiek ievērots un nav pamata uzskatīt, ka tas varētu tikt pārkāpts un atzinums varētu būt negatīvs.»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norādīt, ka ar likumprojektu «Grozījumi Ostu likumā» (23-TA-1049) ir paredzēts izdarīt grozījumus Ostu likuma pārejas noteikumu 16. punkta 2. apakšpunktā, izsakot to šādā redakcijā: «2) Pēc Ventspils brīvostas pārvaldes likvidēšanas, Ministru kabinets akciju sabiedrības «Ventas osta» pamatkapitālā, pēc Eiropas Komisijas pozitīva atzinuma saņemšanas, iegulda Ventspils brīvostas pārvaldei piederošo mantu un aktīvus. Ja Ventspils pašvaldība ir izteikusi piekrišanu, tad valsts bez atlīdzības tai nodod akciju sabiedrības «Ventas osta» 40 procenti kapitāla daļu (akciju). Ja pašvaldība iegūst līdzdalību akciju sabiedrībā «Ventas osta», tad kapitāla daļu turētāji noslēdz akcionāru līgumu, lai noteiktu kapitāla daļu turētāju tiesības un pienākumus, kā arī nosacījumus kapitālsabiedrības kopīgai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tiesību akta projekta anotācijā paskaidrot, kad būs šāds Eiropas Komisijas institūcijas atzinums, novēršot jebkādas LLPA šaubas, ka tas jebkādā veidā var ietekmēt Ventspils brīvostas pārvaldes likvidācijas termiņus, tostarp raksturojot iespējamos riskus, ja šāds atzinums netiks sniegts līdz 2023. gada 30.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Pievēršam Satiksmes ministrijas uzmanību, ka šis </w:t>
            </w:r>
            <w:r w:rsidR="00000000" w:rsidRPr="00000000" w:rsidDel="00000000">
              <w:rPr>
                <w:b w:val="1"/>
                <w:u w:val="single"/>
                <w:rtl w:val="0"/>
              </w:rPr>
              <w:t xml:space="preserve">skaidrojums anotācijā ir nepieciešams</w:t>
            </w:r>
            <w:r w:rsidR="00000000" w:rsidRPr="00000000" w:rsidDel="00000000">
              <w:rPr>
                <w:b w:val="1"/>
                <w:rtl w:val="0"/>
              </w:rPr>
              <w:t xml:space="preserve">, lai Ventspils valstspilsētas pašvaldība, ievērojot labu pārvaldību, varētu sākt plānot savu darbu, tostarp arī izvērtēt, ja tiks pieņemts attiecīgs domes lēmums, savu līdzdalību AS «Ventas osta», kas izriet no Ostu likuma tiesiskā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17.08.2023.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17.08.2023.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Atzinumi_23-TA-1538.docx</dc:title>
</cp:coreProperties>
</file>

<file path=docProps/custom.xml><?xml version="1.0" encoding="utf-8"?>
<Properties xmlns="http://schemas.openxmlformats.org/officeDocument/2006/custom-properties" xmlns:vt="http://schemas.openxmlformats.org/officeDocument/2006/docPropsVTypes"/>
</file>