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1.2.sadaļas "Mērķis" pamatojumā ietvertās pārejas noteikumu atsauces uz Farmācijas likuma pantiem saskaņot ar Likumprojekta 30.pantā minēto Pārejas noteikumu 39.punktu.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paredz zāļu un medicīnisko ierīču (ārstniecības līdzekļu) izplatīšanu un iegādi kuģa apgādei, ko veic kuģis vai kuģa aģents, lūdzam papildināt anotācijas 2.1. sadaļu "Sabiedrības grupas, kuras tiesiskais regulējums ietekmē vai varētu ietekmēt" papildinot ar mērķgrupu - kuģa īpašnieks, kuģa kapteinis, kā arī operators vai fraktētājs un kuģa aģents.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29.08.2023. 12.45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29.08.2023. 12.45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Atzinumi_22-TA-1054.docx</dc:title>
</cp:coreProperties>
</file>

<file path=docProps/custom.xml><?xml version="1.0" encoding="utf-8"?>
<Properties xmlns="http://schemas.openxmlformats.org/officeDocument/2006/custom-properties" xmlns:vt="http://schemas.openxmlformats.org/officeDocument/2006/docPropsVTypes"/>
</file>