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25-TA-529: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Emisijas kvotu izsolīšanas instrumenta finansēto projektu atklāta konkursa "Plūdu risku mazināšanas, novēršanas  un noturības pret plūdiem veicināšanas pasākumi pašvaldībās"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jaunu meliorācijas sistēmu būvniecība lauksaimniecības vai meža zemēs un esošu meliorācijas sistēmu pārbūve un atjaunošana lauksaimniecības vai meža zemēs atbilstoši būvniecības jomā noteiktajiem normatīvajiem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projekta 23.1 jaunā redakcijas izslēdz iespēju pārbūvēt poldera dambjus, jo atrodas lauksaimniecības zemēs. Šajā 23.1 punktā noteikts, ka jaunu meliorācijas sistēmu būvniecība lauksaimniecības vai meža zemēs un esošu meliorācijas sistēmu pārbūve un atjaunošana lauksaimniecības vai meža zemēs atbilstoši būvniecības jomā noteiktajiem normatīvajiem aktiem nekvalificējās kā atbalstāmas darbības. Vēlamies vērst uzmanību, ka poldera dambji atrodas lauku teritorijā, bet tās ietekmē apdzīvotas vietas, tāpēc ir svarīgi, ja šāda aktivitāte tomēr tiktu atbalstīta.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 šo noteikumu </w:t>
            </w:r>
            <w:r w:rsidR="00000000" w:rsidRPr="00000000" w:rsidDel="00000000">
              <w:rPr>
                <w:rtl w:val="0"/>
              </w:rPr>
              <w:t xml:space="preserve">24.3.</w:t>
            </w:r>
            <w:r w:rsidR="00000000" w:rsidRPr="00000000" w:rsidDel="00000000">
              <w:rPr>
                <w:rtl w:val="0"/>
              </w:rPr>
              <w:t xml:space="preserve">, </w:t>
            </w:r>
            <w:r w:rsidR="00000000" w:rsidRPr="00000000" w:rsidDel="00000000">
              <w:rPr>
                <w:rtl w:val="0"/>
              </w:rPr>
              <w:t xml:space="preserve">24.4.</w:t>
            </w:r>
            <w:r w:rsidR="00000000" w:rsidRPr="00000000" w:rsidDel="00000000">
              <w:rPr>
                <w:rtl w:val="0"/>
              </w:rPr>
              <w:t xml:space="preserve"> un </w:t>
            </w:r>
            <w:r w:rsidR="00000000" w:rsidRPr="00000000" w:rsidDel="00000000">
              <w:rPr>
                <w:rtl w:val="0"/>
              </w:rPr>
              <w:t xml:space="preserve">24.5.</w:t>
            </w:r>
            <w:r w:rsidR="00000000" w:rsidRPr="00000000" w:rsidDel="00000000">
              <w:rPr>
                <w:rtl w:val="0"/>
              </w:rPr>
              <w:t xml:space="preserve"> apakšpunktā minētās izmaksas kopsummā nedrīkst pārsniegt 35 % no kopējām projekta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uztur spēkā iepriekšējo iebildumu - paredzēt ielu segumu atjaunošanai 50% no attiecināmajām izmaksām. No iepriekšējās pieredzes attiecībā uz pazemes infrastruktūras cauruļvadu sistēmu izbūvi ielu asfalta/bruģa segumu kvalitatīva atjaunošana izmaksā tikpat cik cauruļvadu iegāde un ieguldīšana (atšķirībā no vietām bez cietā seguma ārpus pilsētām, ceļiem ar grants segumu).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Ja projekta iesniegumā paredzēti šo noteikumu 24.1.apakšpunktā minētā ieguldījumi meliorācijas sistēmā vai tās daļā, kas nav reģistrēta meliorācijas kadastra informācijas sistēmā, tad projekta ietvaros izbūvēto, pārbūvēto vai atjaunoto meliorācijas sistēmu reģistrē Meliorācijas kadastra informācijas sistēmā līdz projekta aktivitāšu pabeigšanai un pirms noslēguma pārskata iesniegšanas Vides investīciju fondā. Lietus kanalizācijas sistēmas reģistrācija Meliorācijas kadastra informācijas sistēmā ir veicama saskaņā ar Latvijā esošajiem normatīviem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74. punkta redakciju, jo tajā ietvertais nosacījums par lietus kanalizācijas sistēmas reģistrāciju Meliorācijas kadastra informācijas sistēmā var radīt interpretācijas un piemērošanas neskaidrības. Lietus kanalizācijas sistēmas un meliorācijas sistēmas ir atšķirīgu nozaru infrastruktūras lietas, kuru reģistrēšanu un uzskaiti regulē atšķirīgi normatīvie akti. Līdz ar to būtu nepieciešams skaidri nodalīt prasības, kas attiecināmas uz meliorācijas sistēmām, no prasībām, kas attiecināmas uz lietus kanalizācijas sistēmām.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neatbalsta, ka zemes vienības, kurās tiek veikti ieguldījumi 2.1.3.1. pasākuma ietvaros, nav iekļaujamas EKII atbalsta programmas projektos.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2.1.3.1. pasākuma ietvaros varēja ierīkot “zilo” un “zaļo” infrastruktūru, nevis lietus ūdens savākšanas un novadīšanas cauruļvadu sistēmas. Viena zemes vienība var būt gara maģistrālā iela pilsētā, kur var tikt realizētas EKII atbalsta programmas un arī 2.1.3.1. pasākuma darbības, kas var būt nodalītas kā atsevišķas kārtas un tādejādi tiktu nodrošināta nepieciešamā demarkācija. Otrkārt, MK 2024. gada 7. maija noteikumos Nr. 284 “Eiropas Savienības kohēzijas politikas programmas 2021.–2027. gadam 2.1.3. specifiskā atbalsta mērķa “Veicināt pielāgošanos klimata pārmaiņām, risku novēršanu un noturību pret katastrofām” 2.1.3.1. pasākuma “Pašvaldību pielāgošanās klimata pārmaiņām” pirmās un otrās projektu iesniegumu atlases kārtas īstenošanas noteikumi” nebija noteikts tas, ka projekta realizēšanai plānotās zemes vienības nevarēs tikt iekļautas EKII atbalsta programmā.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25-TA-529</w:t>
    </w:r>
    <w:r>
      <w:br/>
    </w:r>
    <w:r w:rsidR="00000000" w:rsidRPr="00000000" w:rsidDel="00000000">
      <w:rPr>
        <w:rtl w:val="0"/>
      </w:rPr>
      <w:t xml:space="preserve">Izdrukāts 27.08.2026. 20.06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25-TA-529</w:t>
    </w:r>
    <w:r>
      <w:br/>
    </w:r>
    <w:r w:rsidR="00000000" w:rsidRPr="00000000" w:rsidDel="00000000">
      <w:rPr>
        <w:rtl w:val="0"/>
      </w:rPr>
      <w:t xml:space="preserve">Izdrukāts 27.08.2026. 20.06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Atzinumi_25-TA-529.docx</dc:title>
</cp:coreProperties>
</file>

<file path=docProps/custom.xml><?xml version="1.0" encoding="utf-8"?>
<Properties xmlns="http://schemas.openxmlformats.org/officeDocument/2006/custom-properties" xmlns:vt="http://schemas.openxmlformats.org/officeDocument/2006/docPropsVTypes"/>
</file>