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24-TA-1377: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Aizsardzības ministrija īsteno projektu konkursus militāru vai divējāda lietojuma produktu attīstības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Drošības un aizsardzības industriju 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Atbalstu piešķir, lai īstenotu aizsardzības un drošības industrijā ietilpstošo mazo un vidējo uzņēmumu inovatīvu produktu radīšanu.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akcentē, ka līdzvērtīgās uzņēmējdarbības inovāciju atbalsta programmās tiek izmantots definājums – produkti, pakalpojumi un tehnoloģijas – aicinām precizēt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MK noteikumu punktu paredzot, ka atbalsts tiek piešķirts tādu inovatīvu produktu, pakalpojumu un tehnoloģiju atbalstam, kam ir komercializācijas potenciāls aizsardzības vai drošības jomā un tie atbilst gan Nacionālo bruņoto spēku, gan starptautisko aizsardzības spēju attīstības plāniem.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uzskata, ka programmas ietvaros ir jāparedz sniegt atbalstu arī industrijas starptautiskai konkurētspējai, ne tikai NBS ietvaros, tādā veidā sniedzot pienesumu un integrējoties ES un NATO aizsardzības spēju attīstībā un inovācijā. Uzņēmumu interesēs ir radīt mērogojamus produktus arī straptautiskajam aizsardzības tirgum.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Komercializācijas potenciāls gan vietējā, gan starptautiskā tirgū arī tieši militāra vai divējāda pielietojuma produktiem, pakalpojumiem un tehnoloģijām ir svarīgs, lai komersantam pēc šīs konkrētās atbalsta programmas īstenošanas būtu pēc iespējas lielāka iespēja piesaistīt papildus finansējumu projekta attīstībai un turpināšanai, tādā veidā arī nodrošinot ekonomisko ieguvumu. Komercializācijas potenciāla novērtēšana arī var ietekmēt projekta pieteicēja jau savlaicīgu sagatavošanos un iespējamo risku izvērtējumu par projekta turpināšanu pēc konkrētā atbalsta saņemšanas, nodrošinot tā ilgtspēju.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aicinām precizēt punktu, norādot arī mikro uzņēmumus.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Atbalstu piešķir, lai īstenotu aizsardzības un drošības industrijā ietilpstošo mikro, mazo un vidējo uzņēmumu inovatīvu produktu, pakalpojumu un tehnoloģiju radīšanu un attīstīšanu atbilstoši nacionāla un starptautiska līmeņa aizsardzību spēju attīstības plāniem un ar komercializācijas potenciālu aizsardzības vai drošības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Atbalstu piešķir tādiem pasākumiem kā esošu vai jaunu zinātnisko atziņu, tehnoloģisko un citu attiecīgu zināšanu un prasmju iegūšana, kombinēšana, modelēšana un izmantošana, lai izstrādātu jaunus vai uzlabotu esošus produktus, procesus vai pakalpojumus, kā arī prototipu izgatavošanai, demonstrējumiem, pilotprojektiem, jaunu vai uzlabotu produktu, procesu vai pakalpojumu radīšanai un testēšanai.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MK noteikumu punktu atbilstoši DAIF Latvija priekšlikumam par 3.punktu: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Atbalstu piešķir tādiem pasākumiem kā esošu vai jaunu zinātnisko atziņu, tehnoloģisko un citu attiecīgu zināšanu un prasmju iegūšana, kombinēšana, modelēšana un izmantošana, lai izstrādātu jaunus vai uzlabotu esošus produktus, pakalpojumus vai tehnoloģijas, kā arī prototipu izgatavošanai, demonstrējumiem, pilotprojektiem, jaunu vai uzlabotu produktu, pakalpojumu vai tehnoloģiju radīšanai un testēšanai.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Atbalstu īsteno projektu iesniegumu konkursa veidā.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MK noteikumu punktu atbilstoši definējumam līdzvērtīgās uzņēmējdarbības inovāciju atbalsta programmās.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Atbalstu īsteno atklātā projektu iesniegumu konkursa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Izsludinot projektu konkursu, Komisija izstrādā un apstiprina konkursa nolikumu, kurā tiek ietverti: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Vispārējie konkursa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13.1.1. Konkursa mērķis un mērķgrupas;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 Projekta iesnieguma sagatavošanas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13.1.3. Projektu īstenošanas periods;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13.1.4. Konkursam paredzētais Aizsardzības ministrijas atbalsta apmērs;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13.1.5. Konkursā paredzētās attiecināmās izmaksas, ievērojot šo noteikumu 4. un 28.punktā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13.1.6. Projektu iesniegumu iesniegšanas termiņi;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13.1.7. Projektu iesniegumu atlases un vērtēšanas kritēriji;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13.1.8. Projektu apstiprināšanas un līgumu slēgšanas un uzraudzības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Informācija par projekta iesniedzējam konkursā iesniedzamajiem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13.2.1. Projektu iesniegumu veidlapa;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13.2.2. Projekta izstrādes plāna veidlapa;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13.2.3. Projekta tāmes veidlapa.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MK noteikumu punktu 13.1.1., paredzot, ka Komisijas izstrādātajā un apstiprinātajā konkursa nolikumā arī tiek ietverti konkrētā konkursa atbalsta virzieni, kas savukār tiek noteikti atbilstoši noteiktām aizsardzības spēju prioritātēm vai arī konkrētas aizsardzības spēju prioritātes konkrētajā konkursā netiek noteiktas.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13.Izsludinot projektu konkursu, Komisija izstrādā un apstiprina konkursa nolikumu, kurā tiek ietverti: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Vispārējie konkursa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 Konkursa mērķis, </w:t>
            </w:r>
            <w:r w:rsidR="00000000" w:rsidRPr="00000000" w:rsidDel="00000000">
              <w:rPr>
                <w:u w:val="single"/>
                <w:rtl w:val="0"/>
              </w:rPr>
              <w:t xml:space="preserve">konkrētajā konkursā iekļautās aizsardzības spēju prioritātes un mērķgrupas;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Atbalsta saņemšanai var pieteikties Latvijas Republikā reģistrēti komersanti, kuri atbilst šādām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projekta iesniedzējam ir nepieciešamās zināšanas un prasmes attiecīgā attīstības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 projekta iesniedzējam ir projekta īstenošanai nepieciešamais līdzfinansējums;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 projekta iesniedzējs ir uzskatāms par mazo vai vidējo uzņēmumu atbilstoši šo noteikumu 2.4. 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 projekta iesniedzēja dalībnieki, kas ir juridiskas personas, ir reģistrēti Latvijas Republikā, kādā no Eiropas Savienības, Eiropas Ekonomikas zonas vai Ziemeļatlantijas līguma organizācijas dalībvalstīm, bet projekta iesniedzēja dalībnieki, kas ir fiziskas personas, ir Latvijas Republikas, Ziemeļatlantijas līguma organizācijas, Eiropas Savienības vai Eiropas Ekonomikas zonas valstu pilsoņi;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19.5. projekta iesniedzēja dalībnieki, kas ir juridiskas personas, nav reģistrēti zemu nodokļu vai beznodokļu valstīs un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19.6. nav pasludināts projekta iesniedzēja maksātnespējas process, apturēta tā saimnieciskā darbība un tas netiek likvidēts;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19.7. projekta iesniedzējam uz dienu,  kad noslēdzas projektu iesniegumu atlase, nav nodokļu parādu, kas kopsummā pārsniedz 150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19.8. projekta iesniedzēja valdes vai padomes loceklis, pārstāvēttiesīgā persona vai prokūrists ar tiesas spriedumu, kas stājies spēkā un kļuvis neapstrīdams un nepārsūdzams, nav atzīts par vainīgu jebkurā no šādiem noziedzīgiem nodarījumiem: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19.8.1. noziedzīgas organizācijas izveidošana, vadīšana, iesaistīšanās tajā vai tās sastāvā ietilpstošā organizētā grupā vai citā noziedzīgā formējumā vai piedalīšanās šādas organizācijas izdarītos noziedzīgos nodarījumos;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19.8.2. kukuļņemšana, kukuļdošana, kukuļa piesavināšanās, starpniecība kukuļošanā, neatļauta piedalīšanās mantiskos darījumos, neatļauta labumu pieņemšana, komerciāla uzpirkšana, prettiesiska labuma pieprasīšana, pieņemšana un došana, tirgošanās ar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19.8.3. krāpšana, piesavināšanās vai noziedzīgi iegūtu līdzekļu legalizēšana;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19.8.4. terorisms, terorisma finansēšana, aicinājums uz terorismu, terorisma draudi vai personas vervēšana un apmācīšana terora aktu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19.8.5. cilvēku tirdzniecība;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19.6. izvairīšanās no nodokļu un tiem pielīdzināto maksājumu samaksas;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19.9. Militārās izlūkošanas un drošības dienesta rīcībā nav informācijas par projekta iesniedzēja, tā valdes vai padomes locekļu, pārstāvēttiesīgo personu, prokūristu vai dalībnieku darbībām, kas ir vērstas pret Latvijas Republikas drošību, pārkāpj starptautiskajos līgumos ietvertos vai starptautisko organizāciju noteiktos ierobežojumus. Projekta iesniedzēja valdes vai padomes locekļi, pārstāvēttiesīgās personas vai prokūristi, dalībnieki nepieder pie aizliegtiem militarizētiem vai bruņotiem grupējumiem, aizliegtām sabiedriskām organizācijām, partijām vai to apvienībām;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19.10. projekta iesniedzējs nav sniedzis nepatiesu informāciju par kādu no šā punkta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MK noteikumu 19.7. punktu atbilstoši definējumam līdzvērtīgās uzņēmējdarbības inovāciju atbalsta programmās, paredzot, ka nodokļu parāda esamība tiek pārbaudība nevis noslēdzoties projektu iesniegumu atlasei, bet gan pieņemot lēmumu par atbalsta piešķiršanu. Būtiski, ka var tikt paredzēts, arī iesniegt papildus apliecinošu dokumentu par nodokļu parāda neesamību atbalsta piešķiršanai, ņemot vēr, ka publiskajā VID datu bāzē informācija ir pieejama par noteiktiem periodiem. Šāda ir prakse arī citās inovāciju atbalsta programmās, kad var tikt dots papildus termiņš nepieciešamās dokumentācijas iesniegšanai, pirms tiek pieņemts lēmums par atbalsta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19.7. Uz brīdi, kad pieņemts lēmums par atbalsta piešķiršanu, pēc pēdējās Valsts ieņēmumu dienesta datubāzē pieejamās informācijas nav Valsts ieņēmumu dienesta administrēto nodokļu parādu, tai skaitā valsts sociālās apdrošināšanas obligāto iemaksu parādu, kas kopsummā pārsniedz 150 euro, izņemot nodokļu maksājumus, kuru maksāšanas termiņš saskaņā ar likuma "Par nodokļiem un nodevām" 24. panta pirmo, 1.3 un 1.7 daļu ir pagarināts, sadalīts termiņos, atlikts vai atkārtoti sadalīts termiņos vai attiecībā uz kuriem ir noslēgts vienošanās līgums saskaņā ar likuma "Par nodokļiem un nodevām" 41.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Atbalstu izmaksā granta veidā, pamatojoties uz līdzfinansējuma principu, saskaņā ar konkursa nolikumā noteikto kārtību. Atbalsta saņēmējs ir atbildīgs par nepieciešamā līdzfinansējuma nodrošināšanu.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MK noteikumu punktu ar normu, ka atbalsta sniedzējs arī ir atbildīgas par projekta realizācijas turpināšanu pēc tā pabeigšanas.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Atbalstu izmaksā granta veidā, pamatojoties uz līdzfinansējuma principu, saskaņā ar konkursa nolikumā noteikto kārtību. Atbalsta saņēmējs ir atbildīgs par nepieciešamā līdzfinansējuma nodrošināšanu un projekta īstenošanas turpināšanai nepieciešamajiem finanšu resursiem.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24-TA-1377</w:t>
    </w:r>
    <w:r>
      <w:br/>
    </w:r>
    <w:r w:rsidR="00000000" w:rsidRPr="00000000" w:rsidDel="00000000">
      <w:rPr>
        <w:rtl w:val="0"/>
      </w:rPr>
      <w:t xml:space="preserve">Izdrukāts 17.06.2024. 16.54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24-TA-1377</w:t>
    </w:r>
    <w:r>
      <w:br/>
    </w:r>
    <w:r w:rsidR="00000000" w:rsidRPr="00000000" w:rsidDel="00000000">
      <w:rPr>
        <w:rtl w:val="0"/>
      </w:rPr>
      <w:t xml:space="preserve">Izdrukāts 17.06.2024. 16.54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Atzinumi_24-TA-1377.docx</dc:title>
</cp:coreProperties>
</file>

<file path=docProps/custom.xml><?xml version="1.0" encoding="utf-8"?>
<Properties xmlns="http://schemas.openxmlformats.org/officeDocument/2006/custom-properties" xmlns:vt="http://schemas.openxmlformats.org/officeDocument/2006/docPropsVTypes"/>
</file>