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8. aprīļa noteikumos Nr. 222 "Ēku energoefektivitātes aprēķina metodes un ēku energosertifikācijas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Ēkas energosertifikātu var izsniegt, arī pamatojoties uz ēkas izmērītās energoefektivitātes novērtējumu atbilstoši šo noteikumu 2. pielikumam, tādām ekspluatācijā esošām ēkām, kurām ir individuāla enerģijas patēriņa uzskaite un ir pieejami enerģijas patēriņa dati, kas pamatoti ar izmērītajiem piegādātās un eksportētās enerģijas daudzumiem, par vismaz pēdējo triju gadu periodu, kura laikā ēka ir pastāvīgi ekspluatēta un ēkai nav veiktas pārbūves vai funkciju maiņas, kas ietekmē ēkas enerģijas patēriņu apkurei un sasniedzamos primārās neatjaunojamās enerģijas energoefektivitātes novērtējuma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08.04.2021.noteikumu Nr. 222 "Ēku energoefektivitātes aprēķina metodes un ēku energosertifikācijas noteikumi" (turpmāk - noteikumi) 6.punktā ietvertajos nosacījumos nav noteikti energoefektivitātes novērtēšanas nosacījumi, tādēļ lūdzam noteikumu 6.punktu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Ēkas energosertifikātu var izsniegt, arī pamatojoties uz ēkas izmērītās energoefektivitātes novērtējumu atbilstoši šo noteikumu 2. pielikumam, tādām ekspluatācijā esošām ēkām, kurām ir individuāla enerģijas patēriņa uzskaite un ir pieejami enerģijas patēriņa dati, kas pamatoti ar izmērītajiem piegādātās un eksportētās enerģijas daudzumiem, par vismaz pēdējo triju gadu periodu, kura laikā ēka ir pastāvīgi ekspluatēta un ēkai nav veiktas pārbūves vai funkciju maiņas, kas ietekmē ēkas enerģijas patēriņu apkurei un sasniedzamos primārās neatjaunojamās enerģijas energoefektivitātes novērtējuma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izmērītās energoefektivitātes novērtējumu apkures un sadzīves karstā ūdens sistēmās patērētajai siltumenerģijai vai kurināmiem veic saskaņā ar standartu LVS EN 15378-3:2020 “Ēku energoefektivitāte. Ēku apkures sistēmas un SKŪ. 3.daļa: Izmērītā energoefektivitāte M3-10 un M8-10 moduļiem” un šī standarta nacionālo pielikumu LVS EN 15378-3:2017/NA:2020”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izmērītās energoefektivitātes novērtējumu ēkas pakalpojumiem (veidiem), kuriem tiek izmantota elektroenerģija vienā no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ar elektroenerģijas skaitītājiem, kas uzskaita konkrēto pakalpojumu elektroenerģijas patēriņu un piemērojot standarta LVS EN 52000-1 “Ēku energoefektivitāte. Vispārējs ēku energoefektivitātes novērtējums. 1. daļa: Vispārīgas pamatnostādnes un procedūras (ISO 52000-1:2017)” 8.daļas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saskaņā ar konkrēto pakalpojumu standartiem, lai nodrošinātu standartā LVS EN 16798-1 “LVS EN 16798-1:2019 "Ēku energoefektivitāte. Ēku ventilācija. 1. daļa: Telpu mikroklimata ievades parametri ēku energoefektivitātes projektēšanai un novērtēšanai, ņemot vērā telpu gaisa kvalitāti, temperatūras režīmu, apgaismojumu un akustiku. M1-6 modulis”” noteiktos telpu komforta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standartvērtības saskaņā ar konkrēto pakalpojumu standartiem vai to nacionālajiem pielikumiem.”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Ekspluatācijā esošām dzīvojamām ēkām mehāniskās ventilācijas un dzesēšanas novērtējuma prasības nepiemēro, ja ēkas energosertifikātu izdod atbilstoši šo noteikumu 8.pielikumam, ievērojot 6.punkta nosacījumus un ēkas īpatnējais siltumenerģijas patēriņš apkurei atbilstoši šo noteikumu 3. pielikuma 1. tabulā norādītajiem nosacījumiem ir atbilstošs E vai F ēku energoefektivitātes klasei.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notikumu projekta punktus, kuri nosaka papildināt noteikumus ar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un 6.</w:t>
            </w:r>
            <w:r w:rsidR="00000000" w:rsidRPr="00000000" w:rsidDel="00000000">
              <w:rPr>
                <w:vertAlign w:val="superscript"/>
                <w:rtl w:val="0"/>
              </w:rPr>
              <w:t xml:space="preserve">3</w:t>
            </w:r>
            <w:r w:rsidR="00000000" w:rsidRPr="00000000" w:rsidDel="00000000">
              <w:rPr>
                <w:rtl w:val="0"/>
              </w:rPr>
              <w:t xml:space="preserve"> punktu, jo tie ir pretrunā ar standarta  LVS EN ISO 52010-1:2017/NA:2020 nacionālais pielikuma NA.18 tabulā un NA.19 tabulā noteiktajām izvēlēm. Projektā ierosinātie papildinājumi būtu jānosaka nevis Ministru kabineta noteikumos, bet attiecīgajā standartā.  Pārskatot standartos noteiktās vērtības, jāņem vērā, ka saskaņā ar standarta LVS EN ISO 52000-1 9.1.punktā “Pieņemtās sistēmas” principu izmanto trūkstošam pakalpojumam, kuram būtu jābūt, lai nodrošinātu telpu komforta prasības, taču, gadījumos ar ventilāciju, gaisa apmaiņa var būt nodrošināta ar dabisko gaisa plūsmu, ne tikai ar mehānisko ventilāciju. Tāpat ir jāņem vērā atšķirības, ko nosaka ēku izmantojums (jeb “kategorija” NA.5.tabulā).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Mehāniskās ventilācijas un dzesēšanas sistēmām piemēro “pieņemtās sistēmas” principu un dzīvojamām ēkām mehāniskās ventilācijas vērtību nosaka 6,47 kWh/m2 gadā, savukārt dzesēšanas vērtību 20 kWh/m2 gadā), ja ēkas energosertifikātu izdod atbilstoši šo noteikumu 8.pielikumam, ievērojot 6.punkta nosacījumus un ēkas īpatnējais siltumenerģijas patēriņš apkurei atbilstoši šo noteikumu 3. pielikuma 1. tabulā norādītajiem nosacījumiem ir atbilstošs vismaz D energoefektivitātes klasei.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punktus, kuri nosaka papildināt noteikumus ar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un 6.</w:t>
            </w:r>
            <w:r w:rsidR="00000000" w:rsidRPr="00000000" w:rsidDel="00000000">
              <w:rPr>
                <w:vertAlign w:val="superscript"/>
                <w:rtl w:val="0"/>
              </w:rPr>
              <w:t xml:space="preserve">3</w:t>
            </w:r>
            <w:r w:rsidR="00000000" w:rsidRPr="00000000" w:rsidDel="00000000">
              <w:rPr>
                <w:rtl w:val="0"/>
              </w:rPr>
              <w:t xml:space="preserve"> punktu, jo tie ir pretrunā ar standarta  LVS EN ISO 52010-1:2017/NA:2020 nacionālais pielikuma NA.18 tabulā un NA.19 tabulā noteiktajām izvēlēm. Projektā ierosinātie papildinājumi būtu jānosaka nevis Ministru kabineta noteikumos, bet attiecīgajā standartā.  Pārskatot standartos noteiktās vērtības, jāņem vērā, ka saskaņā ar standarta LVS EN ISO 52000-1 9.1.punktā “Pieņemtās sistēmas” principu izmanto trūkstošam pakalpojumam, kuram būtu jābūt, lai nodrošinātu telpu komforta prasības, taču, gadījumos ar ventilāciju, gaisa apmaiņa var būt nodrošināta ar dabisko gaisa plūsmu, ne tikai ar mehānisko ventilāciju. Tāpat ir jāņem vērā atšķirības, ko nosaka ēku izmantojums (jeb “kategorija” NA.5.tabulā).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Ekspluatācijā esošām nedzīvojamām ēkām, ja ēkā nav mehāniskās ventilācijas un dzesēšanas sistēmas, tad piemēro “pieņemtās sistēmas” principu un biroja ēku kategorijas ēkām paredz dzesēšanas enerģijas patēriņu 30 kWh/m2 gadā (ar nosacījumu, ka gaismu caurlaidīgo virsmu īpatsvars pārsniedz 20 % no katra stāva apkurināmās grīdas platības), bet pārējām ēku kategorijām – 20 kWh/m2 gadā (ar nosacījumu, ka gaismu caurlaidīgo virsmu īpatsvars pārsniedz 15 % no katra stāva apkurināmās grīdas platības), savukārt mehāniskās ventilācijas vērtību nosaka 6,5 kWh/m2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punktus, kuri nosaka papildināt noteikumus ar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un 6.</w:t>
            </w:r>
            <w:r w:rsidR="00000000" w:rsidRPr="00000000" w:rsidDel="00000000">
              <w:rPr>
                <w:vertAlign w:val="superscript"/>
                <w:rtl w:val="0"/>
              </w:rPr>
              <w:t xml:space="preserve">3</w:t>
            </w:r>
            <w:r w:rsidR="00000000" w:rsidRPr="00000000" w:rsidDel="00000000">
              <w:rPr>
                <w:rtl w:val="0"/>
              </w:rPr>
              <w:t xml:space="preserve"> punktu, jo tie ir pretrunā ar standarta  LVS EN ISO 52010-1:2017/NA:2020 nacionālais pielikuma NA.18 tabulā un NA.19 tabulā noteiktajām izvēlēm. Projektā ierosinātie papildinājumi būtu jānosaka nevis Ministru kabineta noteikumos, bet attiecīgajā standartā.  Pārskatot standartos noteiktās vērtības, jāņem vērā, ka saskaņā ar standarta LVS EN ISO 52000-1 9.1.punktā “Pieņemtās sistēmas” principu izmanto trūkstošam pakalpojumam, kuram būtu jābūt, lai nodrošinātu telpu komforta prasības, taču, gadījumos ar ventilāciju, gaisa apmaiņa var būt nodrošināta ar dabisko gaisa plūsmu, ne tikai ar mehānisko ventilāciju. Tāpat ir jāņem vērā atšķirības, ko nosaka ēku izmantojums (jeb “kategorija” NA.5.tabulā).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Ēkām, kuras ir nodotas ekspluatācijā, bet kurām nav pieejami enerģijas patēriņa dati, novērtējumā apkures, karstā ūdens sagatavošanas, mehāniskās ventilācijas, apgaismojuma (piemēro nedzīvojamām ēkām) un dzesēšanas energoefektivitātes rādītāji jāpieņem atbilstoši standarta LVS EN ISO 52000-1:2017/NA:2020 "Ēku energoefektivitāte. Vispārējs ēku energoefektivitātes novērtējums. 1. daļa: Vispārīgas pamatnostādnes un procedūras (ISO 52000-1:2017). Nacionālais pielikums"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noteikumu 7.</w:t>
            </w:r>
            <w:r w:rsidR="00000000" w:rsidRPr="00000000" w:rsidDel="00000000">
              <w:rPr>
                <w:vertAlign w:val="superscript"/>
                <w:rtl w:val="0"/>
              </w:rPr>
              <w:t xml:space="preserve">1</w:t>
            </w:r>
            <w:r w:rsidR="00000000" w:rsidRPr="00000000" w:rsidDel="00000000">
              <w:rPr>
                <w:rtl w:val="0"/>
              </w:rPr>
              <w:t xml:space="preserve"> punkts jāprecizē, jo standartā LVS EN ISO 52000-1:2017/NA:2020 nav noteikti energoefektivitātes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Ēkām, kuras ir nodotas ekspluatācijā, bet kurām nav pieejami enerģijas patēriņa dati, energoefektivitātes rādītājus var novērtēt, pamatojoties uz aprēķiniem un ēkas būvelementu un uzstādīto inženiersistēmu faktisko stāvokli un piemērojot pieņemtās sistēmas principu attiecībā uz trūkstošiem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Ēkām, kuras ir nodotas ekspluatācijā, bet kurām nav pieejami enerģijas patēriņa dati, novērtējumā apkures, karstā ūdens sagatavošanas, mehāniskās ventilācijas, apgaismojuma (piemēro nedzīvojamām ēkām) un dzesēšanas energoefektivitātes rādītāji jāpieņem atbilstoši standarta LVS EN ISO 52000-1:2017/NA:2020 "Ēku energoefektivitāte. Vispārējs ēku energoefektivitātes novērtējums. 1. daļa: Vispārīgas pamatnostādnes un procedūras (ISO 52000-1:2017). Nacionālais pielikums"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punkts nav attiecināms uz ES fondu un finanšu instrumentu atbalsta projektiem. Saredzam risku, ka ar piedāvāto MK noteikumu punkta redakciju tiek legalizēta graustu, t.sk. valsts graustu energoefektivitātes paaugstināšana, piesaistot ES fondu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Ozola-Tīruma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veicot ēkas energosertifikāciju (izņemot šo noteikumu 6.,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iebildumus par noteikumu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un 6.</w:t>
            </w:r>
            <w:r w:rsidR="00000000" w:rsidRPr="00000000" w:rsidDel="00000000">
              <w:rPr>
                <w:vertAlign w:val="superscript"/>
                <w:rtl w:val="0"/>
              </w:rPr>
              <w:t xml:space="preserve">3</w:t>
            </w:r>
            <w:r w:rsidR="00000000" w:rsidRPr="00000000" w:rsidDel="00000000">
              <w:rPr>
                <w:rtl w:val="0"/>
              </w:rPr>
              <w:t xml:space="preserve"> punktu, lūdzam svītrot noteikumu projekta 8.punktā ietverto noteikumu 31.1.apakšpunkta redakciju.  Noteikumu 31.1. apakšpunkts saglabājams šobrīd spēkā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veicot ēkas energosertifikāciju (izņemot šo noteikumu 6.,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iebildumus par noteikumu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un 6.</w:t>
            </w:r>
            <w:r w:rsidR="00000000" w:rsidRPr="00000000" w:rsidDel="00000000">
              <w:rPr>
                <w:vertAlign w:val="superscript"/>
                <w:rtl w:val="0"/>
              </w:rPr>
              <w:t xml:space="preserve">3</w:t>
            </w:r>
            <w:r w:rsidR="00000000" w:rsidRPr="00000000" w:rsidDel="00000000">
              <w:rPr>
                <w:rtl w:val="0"/>
              </w:rPr>
              <w:t xml:space="preserve"> punktu, lūdzam svītrot noteikumu projekta 9.punktā ietverto noteikumu 36.1.apakšpunkta redakciju.  Noteikumu 36.1. apakšpunkts saglabājams šobrīd spēkā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ekonomiski pamatotiem ēkas norobežojošo konstrukciju un inženiersistēmu energoefektivitāti uzlabojošiem pasākumiem, kuru īstenošanas izmaksas ir rentablas paredzamajā (plānotajā) kalpošanas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1.pielikumā pārstrādāt tabulu “2. Ēkas energoefektivitātes rādītāji un ieteikumu salīdzinājums”, jo tajā ir virkne pretrunu ar ēku energoefektivitātes standartiem, kā arī tā nav pielāgota dažādām noteikumos un standartos izmantojamām ēkas energoefektivitātes novērtēšanas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energosertifikāta (izsniegts, pamatojoties uz ēkas izmērītās energoefektivitātes novērtējumu) veidlapas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 un 5. pielikuma tabulas “NOVĒRTĒJUMĀ IZMANTOTIE PRIMĀRĀS ENERĢIJAS FAKTORI UN CO</w:t>
            </w:r>
            <w:r w:rsidR="00000000" w:rsidRPr="00000000" w:rsidDel="00000000">
              <w:rPr>
                <w:vertAlign w:val="subscript"/>
                <w:rtl w:val="0"/>
              </w:rPr>
              <w:t xml:space="preserve">2</w:t>
            </w:r>
            <w:r w:rsidR="00000000" w:rsidRPr="00000000" w:rsidDel="00000000">
              <w:rPr>
                <w:rtl w:val="0"/>
              </w:rPr>
              <w:t xml:space="preserve"> KOEFICIENTI” nesniedz patērētājam vai ekspertiem lietderīgu un saprotamu informāciju, tādēļ būtu jāaizstāj ar tabulu "NOVĒRTĒJUMĀ IZMANTOTIE PRIMĀRĀS ENERĢIJAS FAKTORI UN CO</w:t>
            </w:r>
            <w:r w:rsidR="00000000" w:rsidRPr="00000000" w:rsidDel="00000000">
              <w:rPr>
                <w:vertAlign w:val="subscript"/>
                <w:rtl w:val="0"/>
              </w:rPr>
              <w:t xml:space="preserve">2</w:t>
            </w:r>
            <w:r w:rsidR="00000000" w:rsidRPr="00000000" w:rsidDel="00000000">
              <w:rPr>
                <w:rtl w:val="0"/>
              </w:rPr>
              <w:t xml:space="preserve"> KOEFICIENTI UN ENERGOSNIEGUMA RĀDĪTĀJI", ar šādiem kolonnu nosaukumiem: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Energonesējs un enerģijas lietojums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Nepieciešamā enerģija (kWh/m</w:t>
            </w:r>
            <w:r w:rsidR="00000000" w:rsidRPr="00000000" w:rsidDel="00000000">
              <w:rPr>
                <w:vertAlign w:val="superscript"/>
                <w:rtl w:val="0"/>
              </w:rPr>
              <w:t xml:space="preserve">2</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Energonesēja un efektivitātes koeficients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Energonesēja piegādātā enerģija (kWh/m</w:t>
            </w:r>
            <w:r w:rsidR="00000000" w:rsidRPr="00000000" w:rsidDel="00000000">
              <w:rPr>
                <w:vertAlign w:val="superscript"/>
                <w:rtl w:val="0"/>
              </w:rPr>
              <w:t xml:space="preserve">2</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Primārās enerģijas faktors f un energosnieguma rādītājs (kWh/m</w:t>
            </w:r>
            <w:r w:rsidR="00000000" w:rsidRPr="00000000" w:rsidDel="00000000">
              <w:rPr>
                <w:vertAlign w:val="subscript"/>
                <w:rtl w:val="0"/>
              </w:rPr>
              <w:t xml:space="preserve">2</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 5. neatjaunojamo energoresursu daļa; 6. atjaunojamo energoresursu daļa; 7.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CO</w:t>
            </w:r>
            <w:r w:rsidR="00000000" w:rsidRPr="00000000" w:rsidDel="00000000">
              <w:rPr>
                <w:vertAlign w:val="subscript"/>
                <w:rtl w:val="0"/>
              </w:rPr>
              <w:t xml:space="preserve">2</w:t>
            </w:r>
            <w:r w:rsidR="00000000" w:rsidRPr="00000000" w:rsidDel="00000000">
              <w:rPr>
                <w:rtl w:val="0"/>
              </w:rPr>
              <w:t xml:space="preserve"> emisijas faktors, kg CO</w:t>
            </w:r>
            <w:r w:rsidR="00000000" w:rsidRPr="00000000" w:rsidDel="00000000">
              <w:rPr>
                <w:vertAlign w:val="subscript"/>
                <w:rtl w:val="0"/>
              </w:rPr>
              <w:t xml:space="preserve">2</w:t>
            </w:r>
            <w:r w:rsidR="00000000" w:rsidRPr="00000000" w:rsidDel="00000000">
              <w:rPr>
                <w:rtl w:val="0"/>
              </w:rPr>
              <w:t xml:space="preserve">/MWh; CO</w:t>
            </w:r>
            <w:r w:rsidR="00000000" w:rsidRPr="00000000" w:rsidDel="00000000">
              <w:rPr>
                <w:vertAlign w:val="subscript"/>
                <w:rtl w:val="0"/>
              </w:rPr>
              <w:t xml:space="preserve">2</w:t>
            </w:r>
            <w:r w:rsidR="00000000" w:rsidRPr="00000000" w:rsidDel="00000000">
              <w:rPr>
                <w:rtl w:val="0"/>
              </w:rPr>
              <w:t xml:space="preserve"> emisijas, kgCO</w:t>
            </w:r>
            <w:r w:rsidR="00000000" w:rsidRPr="00000000" w:rsidDel="00000000">
              <w:rPr>
                <w:vertAlign w:val="subscript"/>
                <w:rtl w:val="0"/>
              </w:rPr>
              <w:t xml:space="preserve">2</w:t>
            </w:r>
            <w:r w:rsidR="00000000" w:rsidRPr="00000000" w:rsidDel="00000000">
              <w:rPr>
                <w:rtl w:val="0"/>
              </w:rPr>
              <w:t xml:space="preserve">/m</w:t>
            </w:r>
            <w:r w:rsidR="00000000" w:rsidRPr="00000000" w:rsidDel="00000000">
              <w:rPr>
                <w:vertAlign w:val="superscript"/>
                <w:rtl w:val="0"/>
              </w:rPr>
              <w:t xml:space="preserve">2</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1. kolonnas sekojošas rindas: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__________</w:t>
            </w:r>
            <w:r w:rsidR="00000000" w:rsidRPr="00000000" w:rsidDel="00000000">
              <w:rPr>
                <w:rtl w:val="0"/>
              </w:rPr>
              <w:t xml:space="preserve">**): (aizpildāmi lauki 5.-8.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Apkure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Karstā ūdens sagatavošana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Elektroenerģija no tīkla</w:t>
            </w:r>
            <w:r w:rsidR="00000000" w:rsidRPr="00000000" w:rsidDel="00000000">
              <w:rPr>
                <w:rtl w:val="0"/>
              </w:rPr>
              <w:t xml:space="preserve">: (aizpildāmi lauki 5.-8.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Apkure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Karstā ūdens sagatavošana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Mehāniskā ventilācija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Apgaismojums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Dzesēšana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Kopā </w:t>
            </w:r>
            <w:r w:rsidR="00000000" w:rsidRPr="00000000" w:rsidDel="00000000">
              <w:rPr>
                <w:rtl w:val="0"/>
              </w:rPr>
              <w:t xml:space="preserve">: (aizpildāmi lauki 5.-8.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Koeficients, kurš ietver ražošanas un sadales zudumus vai ražošanas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vai vairāki energonesēji ēkas siltumapgādei. Tabula papildināma, ja ēkai ir vairāki energonesēji, kā arī uz vietas ražotās, patērētās un eksportētās enerģijas atspoguļošanai.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energoefektivitātes enerģijas patēriņa līmeņi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3.pielikumā aiz 1.tabulas papildināt ar piezīmi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energoefektivitātes apkures patēriņa references līmeņi neietver papildu elektroenerģiju apkurei”.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3.pielikumā aiz 1.tabulas papildināt ar piezīmi šādā redakcijā:“Ēku energoefektivitātes apkures patēriņa references līmeņi neietver papildu elektroenerģiju apkurei”.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3.pielikums nosaka ēku energoefektivitātes klases pēc enerģijas patēriņa līmeņa noteiktiem ēku veidiem. Taču noteikumos pielikumā iztrūkst klasificējums tādiem daudzos gadījumos apsildāmu ēku veidiem ar klasificējumu: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1261 Ēkas plašizklaides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1262 Muzeji un bibliotēkas.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Latvijā daudzas apkurināmas ēkas nereti klasificētas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1241 Sakaru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1242 Garāžu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1251 Rūpnieciskās ražošanas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1274 Citas, iepriekš neklasificētas,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Šiem ēku veidiem noteikumos nav noteiktas energoefektivitātes klases, kā arī sarežģījumus pareizai datu ievadīšanā Būvniecības informācijas sistēmā BIS.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3.pielikumu papildināt ar regulējumu visu ēku veidu klasificēšanai pēc enerģijas patēriņa līmeņa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pagaidu energosertifikāta veidlapas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 un 5. pielikuma tabulas “NOVĒRTĒJUMĀ IZMANTOTIE PRIMĀRĀS ENERĢIJAS FAKTORI UN CO2 KOEFICIENTI” nesniedz patērētājam vai ekspertiem lietderīgu un saprotamu informāciju, tādēļ būtu jāaizstāj ar tabulu "NOVĒRTĒJUMĀ IZMANTOTIE PRIMĀRĀS ENERĢIJAS FAKTORI UN CO2 KOEFICIENTI UN ENERGOSNIEGUMA RĀDĪTĀJI", ar šādiem kolonnu nosaukumiem: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Energonesējs un enerģijas lietojums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Nepieciešamā enerģija (kWh/m2/gadā);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Energonesēja un efektivitātes koeficients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Energonesēja piegādātā enerģija (kWh/m2/gadā)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Primārās enerģijas faktors f un energosnieguma rādītājs (kWh/m2/gadā):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 5. neatjaunojamo energoresursu daļa; 6. atjaunojamo energoresursu daļa; 7.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CO2 emisijas faktors, kg CO2/MWh; CO2 emisijas, kgCO2/m2/gadā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1. kolonnas sekojošas rindas: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 (aizpildāmi lauki 5.-8.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Apkure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Karstā ūdens sagatavošana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no tīkla: (aizpildāmi lauki 5.-8.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Apkure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Karstā ūdens sagatavošana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Mehāniskā ventilācija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Apgaismojums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Dzesēšana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 (aizpildāmi lauki 5.-8.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Koeficients, kurš ietver ražošanas un sadales zudumus vai ražošanas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vai vairāki energonesēji ēkas siltumapgādei. Tabula papildināma, ja ēkai ir vairāki energonesēji, kā arī uz vietas ražotās, patērētās un eksportētās enerģijas atspoguļošanai.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energosertifikāta veidlapas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 un 5. pielikuma tabulas “NOVĒRTĒJUMĀ IZMANTOTIE PRIMĀRĀS ENERĢIJAS FAKTORI UN CO2 KOEFICIENTI” nesniedz patērētājam vai ekspertiem lietderīgu un saprotamu informāciju, tādēļ būtu jāaizstāj ar tabulu "NOVĒRTĒJUMĀ IZMANTOTIE PRIMĀRĀS ENERĢIJAS FAKTORI UN CO2 KOEFICIENTI UN ENERGOSNIEGUMA RĀDĪTĀJI", ar šādiem kolonnu nosaukumiem: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Energonesējs un enerģijas lietojums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Nepieciešamā enerģija (kWh/m2/gadā);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Energonesēja un efektivitātes koeficients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Energonesēja piegādātā enerģija (kWh/m2/gadā)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Primārās enerģijas faktors f un energosnieguma rādītājs (kWh/m2/gadā):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 5. neatjaunojamo energoresursu daļa; 6. atjaunojamo energoresursu daļa; 7.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CO2 emisijas faktors, kg CO2/MWh; CO2 emisijas, kgCO2/m2/gadā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1. kolonnas sekojošas rindas: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 (aizpildāmi lauki 5.-8.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Apkure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Karstā ūdens sagatavošana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no tīkla: (aizpildāmi lauki 5.-8.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Apkure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Karstā ūdens sagatavošana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Mehāniskā ventilācija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Apgaismojums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Dzesēšana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 (aizpildāmi lauki 5.-8.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Koeficients, kurš ietver ražošanas un sadales zudumus vai ražošanas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vai vairāki energonesēji ēkas siltumapgādei. Tabula papildināma, ja ēkai ir vairāki energonesēji, kā arī uz vietas ražotās, patērētās un eksportētās enerģijas atspoguļošanai.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pielikuma tabula “NOVĒRTĒJUMĀ IZMANTOTIE PRIMĀRĀS ENERĢIJAS FAKTORI UN CO2 KOEFICIENTI” nesniedz patērētājam vai ekspertiem lietderīgu un saprotamu informāciju, tādēļ būtu jāaizstāj ar tabulu "NOVĒRTĒJUMĀ IZMANTOTIE PRIMĀRĀS ENERĢIJAS FAKTORI UN CO2 KOEFICIENTI UN ENERGOSNIEGUMA RĀDĪTĀJI", ar šādiem kolonnu nosaukumiem: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Energonesējs un enerģijas lietojums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Nepieciešamā enerģija (kWh/m2/gadā);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Energonesēja un efektivitātes koeficients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Energonesēja piegādātā enerģija (kWh/m2/gadā)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Primārās enerģijas faktors f un energosnieguma rādītājs (kWh/m2/gadā):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 5. neatjaunojamo energoresursu daļa; 6. atjaunojamo energoresursu daļa; 7.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CO2 emisijas faktors, kg CO2/MWh; CO2 emisijas, kgCO2/m2/gadā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1. kolonnas sekojošas rindas: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 (aizpildāmi lauki 5.-8.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Apkure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Karstā ūdens sagatavošana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no tīkla: (aizpildāmi lauki 5.-8.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Apkure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Karstā ūdens sagatavošana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Mehāniskā ventilācija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Apgaismojums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Dzesēšana (aizpildāmi lauki visās kolonās)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 (aizpildāmi lauki 5.-8.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Koeficients, kurš ietver ražošanas un sadales zudumus vai ražošanas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vai vairāki energonesēji ēkas siltumapgādei. Tabula papildināma, ja ēkai ir vairāki energonesēji, kā arī uz vietas ražotās, patērētās un eksportētās enerģijas atspoguļošanai.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ēkas enerģijas patēriņš apkurei nepārsniedz šo noteikumu 3. pielikumā norādīto līmeni A klases ēkai;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Nr 222 8. punkta 8.1. apakšpunktu šādā redakcijā: "ēkas enerģijas patēriņš apkurei nepārsniedz šo noteikumu 3. pielikumā norādīto līmeni A klases ēkai. </w:t>
            </w:r>
            <w:r w:rsidR="00000000" w:rsidRPr="00000000" w:rsidDel="00000000">
              <w:rPr>
                <w:i w:val="1"/>
                <w:rtl w:val="0"/>
              </w:rPr>
              <w:t xml:space="preserve">Prasība neattiecas uz viendzīvokļu un divdzīvokļu dzīvojamām ēkām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Ozola-Tīruma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w:t>
    </w:r>
    <w:r>
      <w:br/>
    </w:r>
    <w:r w:rsidR="00000000" w:rsidRPr="00000000" w:rsidDel="00000000">
      <w:rPr>
        <w:rtl w:val="0"/>
      </w:rPr>
      <w:t xml:space="preserve">Izdrukāts 25.02.2025.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w:t>
    </w:r>
    <w:r>
      <w:br/>
    </w:r>
    <w:r w:rsidR="00000000" w:rsidRPr="00000000" w:rsidDel="00000000">
      <w:rPr>
        <w:rtl w:val="0"/>
      </w:rPr>
      <w:t xml:space="preserve">Izdrukāts 25.02.2025.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Atzinumi_25-TA-268.docx</dc:title>
</cp:coreProperties>
</file>

<file path=docProps/custom.xml><?xml version="1.0" encoding="utf-8"?>
<Properties xmlns="http://schemas.openxmlformats.org/officeDocument/2006/custom-properties" xmlns:vt="http://schemas.openxmlformats.org/officeDocument/2006/docPropsVTypes"/>
</file>