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22-TA-3596: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"Pasākumu programma laba jūras vides stāvokļa panākšanai 2022.-2027.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plāna 7.pielikumā pasākumam “JVM1 PP1” precizēt ailē “Turpmāk ik gadu (ja pasākuma izpilde nav terminēta)” sniegto informāciju un norādīt tajā “0”, ņemot vērā, ka pasākums ir terminēts un īstenojams līdz 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plāna 7.pielikuma ailē “Vidēja termiņa budžeta ietvara likumā plānotais finansējums” pārskatīt sniegto informāciju 2024. un 2025.gadam un aizpildīt ailes, norādot tajās attiecīgo vērtību, proti, izvērtēt, vai tiešām pasākumiem, kuriem 2023.gada budžetā ir ieplānots finansējums, tas vairs nav ieplānots budžetā turpmākajiem gadiem, bet ir pieprasāms papildus.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05.06.2023. 15.18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05.06.2023. 15.18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Atzinumi_22-TA-3596.docx</dc:title>
</cp:coreProperties>
</file>

<file path=docProps/custom.xml><?xml version="1.0" encoding="utf-8"?>
<Properties xmlns="http://schemas.openxmlformats.org/officeDocument/2006/custom-properties" xmlns:vt="http://schemas.openxmlformats.org/officeDocument/2006/docPropsVTypes"/>
</file>