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23-TA-1162: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Latvijas iesaisti Ukrainas, jo īpaši Čerņihivas apgabala, rekonstrukcijā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Latvijas iesaisti Ukrainas, jo īpaši Čerņihivas apgabala, rekonstrukcijā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finansējums atbalstam Ukrainas rekonstrukcijai 5 110 877 euro apmērā ir ieplānots budžeta resora “74. Gadskārtējā valsts budžeta izpildes procesā pārdalāmais finansējums” programmā 18.00.00 “Finansējums valsts drošības stiprināšanas pasākumiem” un pārdalāms atbilstoši likuma “Par valsts budžetu 2023. gadam un budžeta ietvaru 2023., 2024. un 2025. gadam” 66.punktam. Ņemot vērā minēto, lūdzam precizēt rīkojuma projektu, paredzot nepieciešamā finansējuma pārdali no budžeta resora “74. Gadskārtējā valsts budžeta izpildes procesā pārdalāmais finansējums” programmas 18.00.00 “Finansējums valsts drošības stiprināšanas pasākumiem” uz konkrētu Ārlietu ministrijas budžeta programmu/apkšprogrammu, kā arī uzdevumu saskaņojumam ar Saeimas Budžeta un finanšu (nodokļu) komisiju.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Arta Bērziņa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Ārlietu ministrijai – finansējumu, kas nepārsniedz 3 103 300 </w:t>
            </w:r>
            <w:r w:rsidR="00000000" w:rsidRPr="00000000" w:rsidDel="00000000">
              <w:rPr>
                <w:i w:val="1"/>
                <w:rtl w:val="0"/>
              </w:rPr>
              <w:t xml:space="preserve">euro</w:t>
            </w:r>
            <w:r w:rsidR="00000000" w:rsidRPr="00000000" w:rsidDel="00000000">
              <w:rPr>
                <w:rtl w:val="0"/>
              </w:rPr>
              <w:t xml:space="preserve">, tai skaitā: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Precizējamajā rīkojuma projektā lūdzam norādīt konkrētu pārdalāmā finansējuma apmēru, turklāt pārskatot un samazinot Latvijas eksperta norīkošanai Eiropas Komisijā darbam ar Ukrainas rekonstrukcijas jautājumiem paredzētā finansējuma apmēru, aprēķinot to ne vairāk kā 8 mēnešiem, jo šobrīd jau ir maija vidus.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Arta Bērziņa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Ekonomikas ministrijai – finansējuma, kas nepārsniedz 2 000 000 </w:t>
            </w:r>
            <w:r w:rsidR="00000000" w:rsidRPr="00000000" w:rsidDel="00000000">
              <w:rPr>
                <w:i w:val="1"/>
                <w:rtl w:val="0"/>
              </w:rPr>
              <w:t xml:space="preserve">euro</w:t>
            </w:r>
            <w:r w:rsidR="00000000" w:rsidRPr="00000000" w:rsidDel="00000000">
              <w:rPr>
                <w:rtl w:val="0"/>
              </w:rPr>
              <w:t xml:space="preserve">, saņemšanai līdz 2023. gada 30. jūnijam iesniegt Ministru kabinetā informatīvo ziņojumu ar detalizētu informāciju par finansējuma ietvaros sniegtā atbalsta plānoto izlietojumu un atbilstošajām procedūrām.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1.2.apakšpunkts ir jāsvītro, jo pēc tam, kad tiks apzināti plānotie pasākumi un tiem nepieciešamā finansējuma apmērs, Ekonomikas ministrija atbilstoši likuma “Par valsts budžetu 2023. gadam un budžeta ietvaru 2023., 2024. un 2025. gadam” 66.punktam varēs sagatavot Ministru kabineta rīkojuma projektu par  apropriācijas pārdali pārdale no budžeta resora “74. Gadskārtējā valsts budžeta izpildes procesā pārdalāmais finansējums” programmas 18.00.00 “Finansējums valsts drošības stiprināšanas pasākumiem” uz Ekonomikas ministrijas budžetu.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Arta Bērziņa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Saskaņā ar Starptautiskās palīdzības likuma 4. panta otro daļu un 5. panta 3., 4. , 6. un 7. punktu, Ārlietu ministrijai patstāvīgi pieņemt lēmumus par šā rīkojuma 1.1. apakšpunktā minētā finansējuma sadalījumu un finanšu līdzekļu piešķiršanu attīstības sadarbības aktivitātēm, kā arī par nepieciešamo līgumu slēgšanu, nepiemērojot Publisko iepirkumu likumā noteiktās iepirkuma procedūras.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Publiskā iepirkuma likuma (turpmāk - PIL) piemērošanas izņēmumu konkrētajā situācijā nav iespējams noteikt ar Ministru kabineta rīkojumu (neizpildās neviens no PIL 3. pantā noteiktajiem atsevišķajiem gadījumiem, kad Ministru kabinetam ir šādas tiesības)- attiecīgi izņēmuma noteikšana būtu pieļaujama tikai ar tāda paša līmeņa normatīvo aktu, t.i. likumu, vienlaikus stingri ievērojot Eiropas parlamenta un padomes direktīvas 2014/24/ES par publisko iepirkumu un ar ko atceļ Direktīvu 2004/18/EK2014/24(turpmāk – Direktīva), kura ir saistoša visām dalībvalstīm, noteiktos rāmjus attiecībā uz piemērojamajiem izņēmumiem, kad ir tiesisks pamats nepiemērot PIL, saskaņā ar Direktīvā noteiktajiem iepirkumu sliekšņiem.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sagatavotajā Ministru kabineta rīkojuma projekta 2.punktā faktiski tiek noteikts PIL piemērošanas izņēmums, kas ir balstīts atsaucē uz Starptautiskās palīdzības likuma 4. panta otro daļu un 5. panta 3., 4. , 6. un 7. punktu.  Vēršam uzmanību uz to, ka Starptautiskās palīdzības likuma 5.pants  publisko iepirkumu paredz kā vienu no apstiprināšanas procedūru veidiem, savukārt rīkojuma 2.punktā atsaucē iekļautās tiesību normas neparedz PIL piemērošanas izņēmumus.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rīkojuma 2.punktā vārdus "nepiemērojot Publisko iepirkumu likumā noteiktās iepirkuma procedūras".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Saskaņā ar Starptautiskās palīdzības likuma 4. panta otro daļu un 5. panta 3., 4. , 6. un 7. punktu, Ārlietu ministrijai patstāvīgi pieņemt lēmumus par šā rīkojuma 1.1. apakšpunktā minētā finansējuma sadalījumu un finanšu līdzekļu piešķiršanu attīstības sadarbības aktivitātēm, kā arī par nepieciešamo līgumu slēgšanu.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Birkenfelde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sadaļu "Cita informācija" papildināt ar informāciju: "Finansējums 5 110 877 euro apmērā plānots kā vispārējās valdības budžeta izdevumi 2023. gadā, kas kā vienreizējie izdevumi Ukrainas atbalstam saskaņā ar likuma “Par valsts budžetu 2023. gadam un budžeta ietvaru 2023., 2024. un 2025. gadam” 5.panta 5.punktu tiek izslēgti no vispārējās valdības budžeta strukturālās bilances mērķa. Nepieciešamais finansējums 2023. gadam tiks nodrošināts, veicot pārdali no budžeta resora "74. Gadskārtējā valsts budžeta izpildes procesā pārdalāmais finansējums" programmas 18.00.00 “Finansējums valsts drošības stiprināšanas pasākumiem”".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Irēna Blauberga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Rīkojuma projekts "Par Latvijas iesaisti Ukrainas, jo īpaši Čerņihivas apgabala, rekonstrukcijā"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protokollēmumu papildināt ar punktu.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Pieņemt zināšanai, ka Latvijas iesaiste Ukrainas rekonstrukcijā, jo īpaši Čerņihivas apgabalā,  2023. gadā ir uzskatāma par vienreizējo pasākumu likuma “Par valsts budžetu 2023. gadam un budžeta ietvaru 2023., 2024. un 2025. gadam” 5.panta 5.punkta izpratnē.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Irēna Blauberga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pamatojumu, norādot arī likuma “Par valsts budžetu 2023. gadam un budžeta ietvaru 2023., 2024. un 2025. gadam” 66. pantu.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Irēna Blauberga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teikumā "Ņemot vērā situācijas attīstību Ukrainā un identificētās vajadzības, kā arī jaunizveidoto globālo donoru Ukrainas rekonstrukcijas platformu G7 valstu grupas paspārnē, Latvijas valdība, pēc Ārlietu ministrijas ierosinājuma, 2023. gada valsts budžetā ir rezervējusi finansējumu 5 103 300 euro apmērā Latvijas iesaistei Ukrainas, jo īpaši Čerņihivas apgabala, rekonstrukcijā."  precizēt tekstu un summu.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situācijas attīstību Ukrainā un identificētās vajadzības, kā arī jaunizveidoto globālo donoru Ukrainas rekonstrukcijas platformu G7 valstu grupas paspārnē, Latvijas iesaistei Ukrainas rekonstrukcijā 2023.gadam likumā "Par valsts budžetu 2023. gadam un budžeta ietvaru 2023., 2024. un 2025. gadam" budžeta resora "74. Gadskārtējā valsts budžeta izpildes procesā pārdalāmais finansējums" programmas 18.00.00 “Finansējums valsts drošības stiprināšanas pasākumiem” ietvaros ir paredzēts finansējums 5 110 877 euro.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Irēna Blauberga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papildināt pašreizējās situācijas aprakstu ar aktuālu informāciju par Ukrainai sniegto/sniedzamo atbalstu: </w:t>
            </w:r>
            <w:r w:rsidR="00000000" w:rsidRPr="00000000" w:rsidDel="00000000">
              <w:rPr>
                <w:rtl w:val="0"/>
              </w:rPr>
              <w:t xml:space="preserve">Ārlietu ministrijas sagatavotais rīkojuma projekts par iemaksu veikšanu NATO Visaptverošajā atbalsta pakotnē Ukrainai (Comprehensive Assistance Package for Ukraine - CAP) 2 milj. EUR 2023.-2025.gg, citas inciātīvas UA atbalstam (Pasaules Bankai / IDA)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Irēna Blauberga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23-TA-1162</w:t>
    </w:r>
    <w:r>
      <w:br/>
    </w:r>
    <w:r w:rsidR="00000000" w:rsidRPr="00000000" w:rsidDel="00000000">
      <w:rPr>
        <w:rtl w:val="0"/>
      </w:rPr>
      <w:t xml:space="preserve">Izdrukāts 15.05.2023. 16.34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23-TA-1162</w:t>
    </w:r>
    <w:r>
      <w:br/>
    </w:r>
    <w:r w:rsidR="00000000" w:rsidRPr="00000000" w:rsidDel="00000000">
      <w:rPr>
        <w:rtl w:val="0"/>
      </w:rPr>
      <w:t xml:space="preserve">Izdrukāts 15.05.2023. 16.34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Atzinumi_23-TA-1162.docx</dc:title>
</cp:coreProperties>
</file>

<file path=docProps/custom.xml><?xml version="1.0" encoding="utf-8"?>
<Properties xmlns="http://schemas.openxmlformats.org/officeDocument/2006/custom-properties" xmlns:vt="http://schemas.openxmlformats.org/officeDocument/2006/docPropsVTypes"/>
</file>