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noteikumu projekta anotācijas 5. sadaļu. Proti, lūdzam skaidrot Eiropas Parlamenta un Padomes regulas Nr. 2016/589 par Eiropas Nodarbinātības dienestu tīklu (EURES), darba ņēmēju piekļuvi mobilitātes pakalpojumiem un turpmāku darba tirgu integrāciju un ar ko groza Regulas (ES) Nr. 492/2011 un (ES) Nr. 1296/2013 (sk. vismaz šīs regulas 11. panta 1. un 2. punktu), kā arī Komisijas 2023. gada 13. decembra Regulas (ES) 2023/2831 par Līguma par Eiropas Savienības darbību 107. un 108. panta piemērošanu de minimis atbalstam prasību ieviešanu noteikumu projektā, attiecībā uz pirmo no minētajām regulām nepieciešamības gadījumā vismaz daļēji informāciju, kas sniegta šobrīd anotācijas 1.3. apakšsadaļā, pārstrukturējot un ietverot 5.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28.11.2025.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28.11.2025.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Atzinumi_25-TA-1534.docx</dc:title>
</cp:coreProperties>
</file>

<file path=docProps/custom.xml><?xml version="1.0" encoding="utf-8"?>
<Properties xmlns="http://schemas.openxmlformats.org/officeDocument/2006/custom-properties" xmlns:vt="http://schemas.openxmlformats.org/officeDocument/2006/docPropsVTypes"/>
</file>