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Datums, kad sadarbības iestāde pieņēmusi lēmumu par komercdarbības atbalsta piešķiršanu sadarbības tīklam, un datums, kad sadarbības tīkls pieņēmis lēmumu par komercdarbības atbalsta piešķiršanu sadarbības tīkla dalībniekiem, uzskatāms par komercdarbības atbalsta piešķiršanas datumu. Sadarbības tīkla dalībniekam izmaksas ir attiecināmas no dienas, kad sadarbības iestāde pieņēmusi lēmumu par sadarbības tīkla projekta iesnieguma apstiprināšanu. Otrajā uzsaukumā sadarbības tīklam, ja projekta iesniedzējs ir inovācijas kopa, izmaksas ir attiecināmas no 2026. gada 1. jūlija, ja ir noslēgts līgums ar Eiropas Komisiju par finansējuma piešķiršanu vai saņemts Eiropas Komisijas dokuments par projekta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ietvaros atbalsts sadarbības tīklam, kas ir inovāciju kopa, tiek sniegts saskaņā ar Komisijas regulas Nr. 651/2014 27. pantu, kā arī, ievērojot noteikumu projekta 36.1  un 36.2  punktā minēto, ja darbi pie projekta ir sākti pirms projekta iesnieguma iesniegšanas CFLA, viss projekts ir noraidāms, lūdzam anotācijā iekļaut skaidrojumu par noteikumu 58. punktā norādīto izņēmumu par to, ka “Otrajā uzsaukumā sadarbības tīklam, ja projekta iesniedzējs ir inovācijas kopa, izmaksas ir attiecināmas no 2026. gada 1. jūlija, ja ir noslēgts līgums ar Eiropas Komisiju par finansējuma piešķiršanu vai saņemts Eiropas Komisijas dokuments par projekta apstiprināšanu.”. Proti, lai varētu uzskatīt, ka atbalstam 1.2.1.1. pasākuma ietvaros ir stimulējoša ietekme saskaņā ar Komisijas regulas Nr. 651/2014 6. pantu, inovācijas kopas finansējuma pieteikumā Eiropas Komisijai, kas iesniegts pirms projekta darbu uzsākšanas, ir ietverta visa Komisijas regulas Nr. 651/2014 6. panta 2. punktā un 6. panta 3. punktā (ja pēdējais ir piemērojams) pieprasītā informācija, kā arī kopējais projektam pieprasītā publiskā finansējuma apjoms (ieskaitot gan Eiropas Komisijas finansējumu, gan atbalstu 1.2.1.1.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šādā gadījumā tiktu ievēroti stimulējošās ietekmes principi un būtu skaidri izmaksu attiecināšanas nosacījumi, lūdzam atbilstoši precizēt noteikumu 58. punktu, lai ir skaidrs, ka inovācijas kopas finansējuma pieteikums Eiropas Komisijā ir iesniegts pirms 2026.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(Laura Naudiņa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Inovācijas kopai, saskaņā ar Komisijas regulu Nr. 651/2014 saņemto komercdarbības atbalstu drīkst kumulēt ar programmas "Digitālā Eiropa" ietvaros sniegto atbalstu un ar citu valsts atbalstu, tai skaitā par vienām un tām pašām attiecināmajām izmaksām, vai citu valsts atbalstu tam pašam riska finansējuma pasākumam, ja netiek pārsniegta attiecīgā maksimālā atbalsta intensitāte vai atbalsta summa, kāda noteikta komercdarbības atbalsta programmā vai Eiropas Komisijas lēmumā. Lai noteiktu, vai ir ievērotas Komisijas regulas Nr. 651/2014 4. pantā noteiktās paziņošanas robežvērtības un III nodaļā noteiktā atbalsta maksimālā intensitāte, ņem vērā atbalstāmajai darbībai, projektam vai uzņēmumam piešķirtā valsts atbalsta kopsummu.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komercdarbības atbalsta gadījumā, kad atbalstu piešķir inovācijas kopai saskaņā ar Komisijas regulu Nr. 651/2014, tai skaitā par piemērojamiem kumulācijas nosacījumiem, lūdzam precizēt noteikumu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1 </w:t>
            </w:r>
            <w:r w:rsidR="00000000" w:rsidRPr="00000000" w:rsidDel="00000000">
              <w:rPr>
                <w:rtl w:val="0"/>
              </w:rPr>
              <w:t xml:space="preserve">punktu. Lūdzam skatīt piedāvātās redakciju piemēru zemāk.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kopai, saskaņā ar Komisijas regulu Nr. 651/2014 saņemto komercdarbības atbalstu drīkst kumulēt ar programmas "Digitālā Eiropa" ietvaros sniegto atbalstu un ar citu valsts atbalstu, tai skaitā par vienām un tām pašām attiecināmajām izmaksām, vai citu valsts atbalstu tam pašam riska finansējuma pasākumam, ja netiek pārsniegta attiecīgā maksimālā atbalsta intensitāte vai atbalsta summa, kāda noteikta komercdarbības atbalsta programmā vai Eiropas Komisijas lēmumā. Lai noteiktu, vai ir ievērotas Komisijas regulas Nr. 651/2014 4. pantā noteiktās paziņošanas robežvērtības un III nodaļā noteiktā atbalsta maksimālā intensitāte, ņem vērā </w:t>
            </w:r>
            <w:r w:rsidR="00000000" w:rsidRPr="00000000" w:rsidDel="00000000">
              <w:rPr>
                <w:u w:val="single"/>
                <w:rtl w:val="0"/>
              </w:rPr>
              <w:t xml:space="preserve">inovācijas kopai</w:t>
            </w:r>
            <w:r w:rsidR="00000000" w:rsidRPr="00000000" w:rsidDel="00000000">
              <w:rPr>
                <w:rtl w:val="0"/>
              </w:rPr>
              <w:t xml:space="preserve"> piešķirtā valsts atbalsta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31.07.2026.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31.07.2026.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