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tiesisko regulējumu, kas paredz, ka Latvijas Investīciju un attīstības aģentūra, veicot atbilstības pārbaudi attiecībā uz projekta 34.4.1., 34.4.2. un 34.4.4.apakšpunktā noteiktajiem kritērijiem, ziņas iegūst no Iekšlietu ministrijas Informācijas centra pārziņā esošās valsts informācijas sistēmas “Sodu reģistrs”, tādējādi nodrošinot nepārprotamu skaidrību par to, kurai institūcijai, kādos gadījumos un kādā apjomā ir tiesības saņemt ziņas no attiecīgās informācijas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(ex-ante) novērtējuma ziņojuma (anotācijas) 1.3.apakšpunktā vārdus “Sodu reģistrā” ar vārdiem “Iekšlietu ministrijas Informācijas centra pārziņā esošajā valsts informācijas sistēmā “Sodu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06.06.2023.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06.06.2023.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