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norādītos izdevumus atlīdzībai, vienlaikus lūdzam vērtēt vai nav iespējams atteikties no kādām šobrīd veicamajām funkcijām un uzdevumiem, vai arī tos attiecīgi veikt samazinātā apmērā. Papildus norādāms, ka neskatoties uz MK 25.02.2025. MK sēdes protokola Nr. 8 #49 12.punktā noteikto lūdzam primāri izmantot amata vietas no iestādes vai resora. Vēršam uzmanību, ka uz 31.07.2025. Veselības inspekcijā vakantas ir 12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Informatīvā ziņojuma "Par Mākslīgā intelekta akta prasību ieviešanu" (24-TA-2633) papildu nepieciešamais finansējums VI amata vietai 2026.gadā - 52 092 euro, 2027.g. - 54 049 euro, bet 2028.g. un turpmāk 55 811 euro, kas ir ievērojami mazāks nekā šī tiesību akta Anotācijas 3.sadaļā norādītais. Papildus vēršam uzmanību, ka detalizētais finansējuma aprēķins 24-TA-2633 tika sagatavots 2024.gadā, 2026.gada un turpmākajiem gadiem aprēķinā izmantojot 2026.g un turpmākajiem gadiem </w:t>
            </w:r>
            <w:r w:rsidR="00000000" w:rsidRPr="00000000" w:rsidDel="00000000">
              <w:rPr>
                <w:u w:val="single"/>
                <w:rtl w:val="0"/>
              </w:rPr>
              <w:t xml:space="preserve">prognozēto</w:t>
            </w:r>
            <w:r w:rsidR="00000000" w:rsidRPr="00000000" w:rsidDel="00000000">
              <w:rPr>
                <w:rtl w:val="0"/>
              </w:rPr>
              <w:t xml:space="preserve"> algu skalu. Ministru kabinets 26.08.2025. nolēma, ka 2026.gadā tiek izmantota 2025.gada bāzes mēnešalga, kas secīgi nozīmē, ka algu skala 2026.gadā paliek 2025.gada apmērā. Ņemot vērā minēto nav pamatojuma tik lielam izdevumu apmēram atlīdzībai.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norādītos aprēķinus, kā arī papildus vērtēt iespēju amata vietu veidot izmantojot jau esošās vakantās mata vietas iestādē vai resorā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Veselības ministrijai (Veselības inspekcijai) ir nepieciešams papildu finansējums 2026. gadam - 55 772 </w:t>
            </w:r>
            <w:r w:rsidR="00000000" w:rsidRPr="00000000" w:rsidDel="00000000">
              <w:rPr>
                <w:i w:val="1"/>
                <w:rtl w:val="0"/>
              </w:rPr>
              <w:t xml:space="preserve">euro</w:t>
            </w:r>
            <w:r w:rsidR="00000000" w:rsidRPr="00000000" w:rsidDel="00000000">
              <w:rPr>
                <w:rtl w:val="0"/>
              </w:rPr>
              <w:t xml:space="preserve"> apmērā, 2027. gadam - 57 429</w:t>
            </w:r>
            <w:r w:rsidR="00000000" w:rsidRPr="00000000" w:rsidDel="00000000">
              <w:rPr>
                <w:i w:val="1"/>
                <w:rtl w:val="0"/>
              </w:rPr>
              <w:t xml:space="preserve"> euro </w:t>
            </w:r>
            <w:r w:rsidR="00000000" w:rsidRPr="00000000" w:rsidDel="00000000">
              <w:rPr>
                <w:rtl w:val="0"/>
              </w:rPr>
              <w:t xml:space="preserve">apmērā un 2028. gadam un turpmāk ik gadu - 58 731 </w:t>
            </w:r>
            <w:r w:rsidR="00000000" w:rsidRPr="00000000" w:rsidDel="00000000">
              <w:rPr>
                <w:i w:val="1"/>
                <w:rtl w:val="0"/>
              </w:rPr>
              <w:t xml:space="preserve">euro</w:t>
            </w:r>
            <w:r w:rsidR="00000000" w:rsidRPr="00000000" w:rsidDel="00000000">
              <w:rPr>
                <w:rtl w:val="0"/>
              </w:rPr>
              <w:t xml:space="preserve"> apmērā Regulas Nr.2024/1689 normas par tirgus uzraudzību iestādēm ieviešanai vidēja termiņa budžeta 2026., 2027. un 2028. gadam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atbilstoši iebildumam pie Anotācijas 3.sadaļas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30.09.2025.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30.09.2025.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Atzinumi_25-TA-1324.docx</dc:title>
</cp:coreProperties>
</file>

<file path=docProps/custom.xml><?xml version="1.0" encoding="utf-8"?>
<Properties xmlns="http://schemas.openxmlformats.org/officeDocument/2006/custom-properties" xmlns:vt="http://schemas.openxmlformats.org/officeDocument/2006/docPropsVTypes"/>
</file>