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2.2.1.2.i. investīcijas ietvaros netiks īstenoti stratēģiski svarīgi projekti un attiecīgi pec nepieciešamības papildināt MK noteikumu projektu. Norādām, ka saskaņā ar Atveseļošanas un noturības mehānisma (turpmāk - AF) plānu Ekonomikas ministrijai jānosaka vismaz viens stratēģiski svarīgs projekts AF jomā "</w:t>
            </w:r>
            <w:r w:rsidR="00000000" w:rsidRPr="00000000" w:rsidDel="00000000">
              <w:rPr>
                <w:b w:val="1"/>
                <w:rtl w:val="0"/>
              </w:rPr>
              <w:t xml:space="preserve">Uzņēmumu digitalizācija un inovācijas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limitētas periodiskas izmaksas programmatūras lietošanai, kas saistītas ar programmatūras izmantošanu uz ierobežotu laika periodu, kas lietotājam nedod nekāda veida licences īpašumtiesības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izteikto iebildumu, kas iekļauts izziņas 53.punktā, un lūdzam izvērtēt kā noteikumu projekta 17.2.3.apakšpunktā norādītās izmaksas atbilst Komisijas regulas Nr.651/2014 2.panta 49.apakšpunkta sākotnējo ieguldījumu definīcijai, ņemot vērā, ka "“sākotnējais ieguldījums” ir: a) ieguldījums materiālajos un nemateriālajos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vai b) tādai uzņēmējdarbības vietai piederošu aktīvu iegāde, kas ir slēgta vai būtu slēgta, ja tā nebūtu iegādāta, un to ir iegādājies ar pārdevēju nesaistīts ieguldītājs; uzņēmuma kapitāldaļu iegāde vien nav sākotnējs ieguldījums"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izmaksas, kas saistītas ar projekta iesnieguma sagatavošanu, kas ietver arī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21.2.apakšpunktā domāts ar "projekta iesniegumu". Terminu sadaļā šāda jēdziena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nosūtīt uzaicinājumu Latvijas Investīciju un attīstības aģentūrai iesniegt projekta iesniegumu 15 darbdienu laikā no uzaicinājuma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sadaļā nav definīcijas "projekta iesniegums". Lūdzam MK noteikumu terminu sadaļā iekļaut gan definīciju "projekta iesniegums", gan "atbalsta pieteikums" gala labuma guvējam. Tāpat lūdzam skaidrot šo jēdzienu mijiedarbību ar terminu sadaļā jau iekļauto jēdzienu "projekts" un nepieciešamības gadījumā precizēt. Vēršam uzmanību, ka vienā MK noteikumu projektā lietotie jēdzieni nevar pārklāties.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5. punktā minētā Atveseļošanas fonda finansējuma ietvaros atbalsts 36 000 000 </w:t>
            </w:r>
            <w:r w:rsidR="00000000" w:rsidRPr="00000000" w:rsidDel="00000000">
              <w:rPr>
                <w:i w:val="1"/>
                <w:rtl w:val="0"/>
              </w:rPr>
              <w:t xml:space="preserve">euro</w:t>
            </w:r>
            <w:r w:rsidR="00000000" w:rsidRPr="00000000" w:rsidDel="00000000">
              <w:rPr>
                <w:rtl w:val="0"/>
              </w:rPr>
              <w:t xml:space="preserve"> apmērā ir pieejams sīkiem (mikro), maziem, vidējiem un lieliem komersantiem, pētniecības un zināšanu izplatīšanas organizācijām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77.punktā, ņemot vērā, ka no MK noteikumu projekta redakcijas nav skaidri nolasāma sasaiste ar attiecīgajos gadījumos piemērojamo komercdarbības atbalsta kontroles regulējumu. Attiecīgi atkārtoti aicinām noteikumu projekta 28., 29. un 30. punktus sasaistīt ar attiecīgajos gadījumos piemērojamo komercdarbības atbalsta kontroles regulējumu, vai sniedzot sasaisti ar konkrētiem noteikumu projekta punktiem, kas nosaka, kura komercdarbības atbalsta kontroles regulējuma ietvaros atbalsts tiek sniegts noteikumu projekta 28., 29. un 30. punktos minētajiem komersantiem. Patlaban esošā redakcija šiem punktiem nerada izpratni, kas tika uzskatāmi skaidrota prezentācijas slaidā (kas no Ekonomikas puses tikusi prezentēta savstarpējā sarunā 19.10.2022), proti,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biedrībām un nodibinājumiem atbalsts tiks sniegts saskaņā ar de minimis atbalsta regulējumu un atbalsts vienam gala labuma guvējam ir pieejams apmērā līdz 100 000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sīkajam (mikro), mazajam komersantam atbalsts apmērā līdz 5 000 euro vienam komersantam tiks sniegts saskaņā ar de minimis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sīkajam (mikro), mazajam, vidējam, lielajam komersantam, pētniecības un zināšanu izplatīšanas organizācijai atbalsts apmērā līdz 100 000 euro tiks sniegts saskaņā ar Komisijas regulas Nr.651/2014 14. vai 18.pantu, kā arī ar de minimis atbalsta regulējumu (gadījumos, kas minēti noteikumu projekta 75.punktā).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Investīciju un attīstības aģentūras sniegtais komercdarbības atbalsts gala labuma guvējam tiek piemērots, ja tiek veikta saimnieciskā darbība gala labuma guvēja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izziņā uz Finanšu ministrijas izteikto iebildumu, kas iekļauts izziņas 92.punktā, norādāt, ka iebildums ir ņemts vērā un attiecīgais noteikumu projekta punkts ticis dzēsts, bet MK noteikumu projektā joprojām ir iekļauts 37.punkts (iepriekš 39. punkts), atkārtoti aicinām dzēst 37.punktu.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Gala labuma guvējs katru nākamo atbalsta pieteikumu šo noteikumu 15. punktā minēto darbību īstenošanai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apliecinājumu, ka MK noteikumu projekta 42.punktā norādītā kārtība neietekmēs investīcijas rādītāju izpildi (norādīti MK noteikumu projekta 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651/2014 14. un 18. pantu, var apvienot ar citā komercdarbības atbalsta programmā vai individuālā atbalsta projektā sniegto atbalstu dažādām nosakāmām vai vienām un tām pašām attiecināmajām izmaksām saskaņā ar Komisijas regulas Nr.  651/2014 8. pantu, tai skaitā var apvienot ar citā komercdarbības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maksimālā publiskā finansējuma apmēru vai maksimālo robežvērtību, kas noteikta citā valsts atbalsta programmā, individuālā atbalsta projektā saskaņā ar Komisijas regulas Nr. 651/2014 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projekta 70.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Atbalstu, kas gala labuma guvējam piešķirts saskaņā ar Komisijas regulas Nr. 651/2014 14. un 18. pantu var apvienot ar citas atbalsta programmas vai </w:t>
            </w:r>
            <w:r w:rsidR="00000000" w:rsidRPr="00000000" w:rsidDel="00000000">
              <w:rPr>
                <w:i w:val="1"/>
                <w:rtl w:val="0"/>
              </w:rPr>
              <w:t xml:space="preserve">ad-hoc</w:t>
            </w:r>
            <w:r w:rsidR="00000000" w:rsidRPr="00000000" w:rsidDel="00000000">
              <w:rPr>
                <w:rtl w:val="0"/>
              </w:rPr>
              <w:t xml:space="preserve">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w:t>
            </w:r>
            <w:r w:rsidR="00000000" w:rsidRPr="00000000" w:rsidDel="00000000">
              <w:rPr>
                <w:i w:val="1"/>
                <w:rtl w:val="0"/>
              </w:rPr>
              <w:t xml:space="preserve">ad-hoc</w:t>
            </w:r>
            <w:r w:rsidR="00000000" w:rsidRPr="00000000" w:rsidDel="00000000">
              <w:rPr>
                <w:rtl w:val="0"/>
              </w:rPr>
              <w:t xml:space="preserve"> atbalsta projekta ietvaros piešķirto finansējumu nepārsniedz maksimāli pieļaujamo reģionālā atbalsta un konsultāciju atbalsta intensitāti, kas attiecīgi noteikta šo noteikumu 63. un 65.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 vai Eiropas Komisijas lēmumā.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projekta 89.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Atbalstu, kas atbalsta programmas ietvaros gala labuma guvējam piešķirts saskaņā ar Komisijas regulu Nr. 1407/2013 vai Komisijas regulu Nr. 717/2014 vai Komisijas regulu Nr. 1408/2013, var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vai Komisijas regulas Nr. 717/2014 3. panta 2. punktā vai Komisijas regulas Nr. 1408/2013 3. panta 2. punktā noteiktajam attiecīgajam robežlielumam, kā arī var apvienot ar citas atbalsta programmas vai </w:t>
            </w:r>
            <w:r w:rsidR="00000000" w:rsidRPr="00000000" w:rsidDel="00000000">
              <w:rPr>
                <w:i w:val="1"/>
                <w:rtl w:val="0"/>
              </w:rPr>
              <w:t xml:space="preserve">ad-hoc </w:t>
            </w:r>
            <w:r w:rsidR="00000000" w:rsidRPr="00000000" w:rsidDel="00000000">
              <w:rPr>
                <w:rtl w:val="0"/>
              </w:rPr>
              <w:t xml:space="preserve">atbalsta projekta ietvaros piešķirto finansējumu, tai skaitā, par tām pašām attiecināmām izmaksām vai citu valsts atbalstu tam pašam riska finansējuma pasākumam, ja netiek pārsniegta attiecīgā maksimālā atbalsta intensitāte vai atbalsta summa, kāda noteikta valsts atbalsta programmā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aktuālā versija pēc grozījumiem vairs nesatur 13.panta e)apakšpunktu. Lūdzam precizēt anotācijas "Atbalsta nosacījumi attiecībā uz nozarēm un darbībām" sadaļā iekļauto informāciju, dzēšot atsauci uz 13. panta e)apakšpunktu.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15 darbdienu laikā izvērtēt iesniegto projekta iesniegumu atbilstoši šo noteikumu, Atveseļošanas fonda plāna prasībām, izslēgšanas kritērijiem, kas noteikti regulas Nr. 2018/1046 136. pantā, un, ja nepieciešams, lūgt Latvijas Investīciju un attīstības aģentūru veikt projekta iesnieguma veidlapā iesniegtās informācijas papildinājumus un precizējumus, nosakot arī termiņus precizējumu un papildinājumu iesniegšanai. Ja Latvijas Investīciju un attīstības aģentūra projekta iesniegumu ir iesniegusi atbilstoši šo noteikumu, Atveseļošanas fonda plānā noteiktajām prasībām, un nepieciešamības gadījumā precizējusi projekta iesniegumu atbilstoši Ekonomikas ministrijas noteiktajam, Ekonomikas ministrija pieņem lēmumu par projekta iesnieguma apstiprināšanu un vienošanās par Atveseļošanas fonda finansējuma pārvaldīšanu, tā piešķiršanas, izlietošanas un uzraudzības kārtību noslēgšanu;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cik reizes LIAA būs iespējams precizēt projekta iesniegumu un vai tas būs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korupcijas, krāpšanas, interešu konflikta novēršanas principu saskaņā ar Komisijas regulas Nr. 2018/1046 61. pantu, dubultfinansējuma riska novēršanas un sasniegto mērķu pamatojošās dokumentācijas virspārbaudes izlases veidā, t.sk. datu ticamības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tiek saprast ar "virspārbaudēm" , kuras plāno veikt Ekonomikas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iesniegt projekta iesniegumu 15 darbdienu laikā no uzaicinājuma saņemšanas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24.1. apakšpunktu ar nosacījumu, ka projekta iesniegums tiek iesniegts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programmas īstenošanai Latvijas Investīciju un attīstības aģentūra var saņemt vairākus maksājumus. Avansa maksājumu Latvijas Investīciju un attīstības aģentūra var saņemt 30% apmērā no šo noteikumu ​​5. punktā minētā finansējuma, ja ir izstrādāta un ar Ekonomikas ministriju saskaņota šo noteikumu 24.6. apakšpunktā minētā kārtība. Nākamos starpposma maksājumus Latvijas Investīciju un attīstības aģentūra var pieprasīt, ja iepriekšējie maksājumi ir izlietoti pilnā apmērā. Avansa un starpposma maksājumu kopsumma nepārsniedz 90% no šo noteikumu ​​5. 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51.punktu normas viennozīmīgai izpratnei lūdzam precizēt redakciju, dzēšot šī punkta 1.teikumu.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74. punktā minētajai biedrībai un nodibinājumam un šo noteikumu 75. punktā minētajiem gala labuma guvējiem šo noteikumu 17.2.1. un 17.2.3. apakšpunktā minētajām izmaksām maksimāli pieļaujamā atbalsta intensitāte no projekta attiecināmajām izmaksām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77.punktā ir paredzēta stingrāka norma attiecībā uz atbalsta intensitāti </w:t>
            </w:r>
            <w:r w:rsidR="00000000" w:rsidRPr="00000000" w:rsidDel="00000000">
              <w:rPr>
                <w:i w:val="1"/>
                <w:rtl w:val="0"/>
              </w:rPr>
              <w:t xml:space="preserve">de minimis</w:t>
            </w:r>
            <w:r w:rsidR="00000000" w:rsidRPr="00000000" w:rsidDel="00000000">
              <w:rPr>
                <w:rtl w:val="0"/>
              </w:rPr>
              <w:t xml:space="preserve"> atbalsta gadījumā, nekā to paredz </w:t>
            </w:r>
            <w:r w:rsidR="00000000" w:rsidRPr="00000000" w:rsidDel="00000000">
              <w:rPr>
                <w:i w:val="1"/>
                <w:rtl w:val="0"/>
              </w:rPr>
              <w:t xml:space="preserve">de minimis</w:t>
            </w:r>
            <w:r w:rsidR="00000000" w:rsidRPr="00000000" w:rsidDel="00000000">
              <w:rPr>
                <w:rtl w:val="0"/>
              </w:rPr>
              <w:t xml:space="preserve"> regulējums, lūdzam precizēt anotācijā sniegto skaidrojumu un pamatojumu šāda stingrāka nosacījuma piemērošanai, piemēram, kā iemeslu šādai stingrākai pieejai norādot to, ka šāda pieeja novērš komersantu konkurenci dažādu regulējumu ietvaros to dažādo atbalsta intensitāšu dēļ - tādēļ atbalsta programmas izstrādātājs attiecībā uz visiem atbalsta programmas ietvaros piemērojamajiem regulējumiem nosaka vienādas atbalsta intensitātes.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w:t>
            </w:r>
            <w:r w:rsidR="00000000" w:rsidRPr="00000000" w:rsidDel="00000000">
              <w:rPr>
                <w:i w:val="1"/>
                <w:rtl w:val="0"/>
              </w:rPr>
              <w:t xml:space="preserve">De minimis</w:t>
            </w:r>
            <w:r w:rsidR="00000000" w:rsidRPr="00000000" w:rsidDel="00000000">
              <w:rPr>
                <w:rtl w:val="0"/>
              </w:rPr>
              <w:t xml:space="preserve"> atbalsta uzskaiti veic saskaņā ar Ministru kabineta 2018. gada 21. novembra noteikumu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juridiskai tehnikai nav ieteicams MK noteikumos atsaukties uz citiem MK noteikumiem, aicinām dzēst noteikumu projekta 83.punktā ietverto atsauci uz Ministru kabineta 2018. gada 21. novembra noteikumiem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aizstājot to ar norādi uz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anotācijā sniegtā skaidrojuma izpratnei, aicinām anotācijas "Attiecināmās izmaksas un izmaksas, kas netiek segtas no Atveseļošanas fonda finansējuma" sadaļā iekļauto skaidrojumu redakcionāli precizēt, piemēram, šādi: "Attiecināmās izmaksas ir Latvijas Investīciju un attīstības aģentūras valsts noteiktās funkcijas īstenošanas nodrošināšanai saskaņā ar Ministru kabineta 2012. gada 11. decembra noteikumiem Nr. 857 "Latvijas Investīciju un attīstības aģentūras nolikums", līdz ar to Atveseļošanas fonda finansējums netiks sniegts saimnieciskās darbības veikšanai un attiecībā uz Latvijas Investīciju un attīstības aģentūru nav jāpiemēro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sadaļas 1. tabulu, ņemot vērā, ka daži noteikumu projekta punkti paredz stingrākas prasības, nekā tas ir noteikts regulā (piemēram, noteikumu projekta 77.punkts paredz stingrākas prasības,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17.11.2022.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22-TA-1124</w:t>
    </w:r>
    <w:r>
      <w:br/>
    </w:r>
    <w:r w:rsidR="00000000" w:rsidRPr="00000000" w:rsidDel="00000000">
      <w:rPr>
        <w:rtl w:val="0"/>
      </w:rPr>
      <w:t xml:space="preserve">Izdrukāts 17.11.2022.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Atzinumi_22-TA-1124.docx</dc:title>
</cp:coreProperties>
</file>

<file path=docProps/custom.xml><?xml version="1.0" encoding="utf-8"?>
<Properties xmlns="http://schemas.openxmlformats.org/officeDocument/2006/custom-properties" xmlns:vt="http://schemas.openxmlformats.org/officeDocument/2006/docPropsVTypes"/>
</file>