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ministrijai virzīt priekšlikumus par finansējuma pārdalēm izskatīšanai un lēmuma pieņemšanai nākošajā Eiropas Savienības fondu tematiskās komitejas 2026. gada sēdē, atbilstoši Eiropas Savienības fondu tematiskās komitejas 2026. gada 6. augusta sēdes protokola Nr. 1 2.§ 2. punktam, kurš nosaka, ka nozaru ministrijām jāiesniedz Finanšu ministrijā papildu informāciju par visiem pieteiktajiem finansējuma pieprasījuma vai pārdaļu priekšlikumiem, vai arī tās saskaņot Sadarbības sanāksmē. Attiecīgi jautājums par noteikumu projekta (26-TA-2147) turpmāku saskaņošanu ir izskatāms pēc Eiropas Savienības fondu tematiskās komitejas lēmuma pieņemšanas par minētajām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grozījumus, lūdzam papildināt noteikumu projekta anotāciju ar informāciju, ka finansējuma saņēmējs projekta atbalstāmās darbības jāīsteno atbilstoši drošas finanšu pārvaldības principiem, ievērojot samērīguma principus un veic visas darbības, lai publiskais finansējums tiktu investēts lietderīgi, efektīvi, atbildīgi, rūpīgi un atbilstoši plānotajam mērķim un saskaņā ar normatīvo regulējumu.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vai ņemot vērā izstrādātos grozījumus civiltiesiskā līguma vai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alternatīvo risinājumu izvērtējumu, norādot vismaz galvenos apsvērtos variantus un argumentus, kādēļ tie netika atbalstīti. Patreiz anotācijā norādīts, ka alternatīvie risinājumi ir izvērtēti, tomēr faktiski sniegts tikai izvēlētā risinājuma pamatojums. Nav aprakstīti citi izskatītie varianti.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detalizētu pamatojumu papildu finansējuma nepieciešamībai 5.1.1.5. pasākumā, norādot finansējuma deficīta apmēru un galvenos izmaksu pieauguma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anotācijā teikts, ka Lielās ģildes un Arsenāla projektu pabeigšanai nepieciešams papildu finansējums, taču nav norādīts, kāds ir kopējais finansējuma trūkums, kā tas radies un kāpēc nepieciešami tieši 4,35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skaidrojot, kādi alternatīvi ieguldījumu varianti tika izvērtēti 4.3.2. SAM ietvaros un kādēļ secināts, ka papildu finansējuma saglabāšana šajā mērķī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par galveno argumentu finansējuma pārdalei minēts, ka 4.3.2. SAM rādītāji tiks pārsniegti, taču nav sniegta analīze, kādas papildu priekšrocības radītu finansējuma saglabāšana 4.3.2. SAM ietvaros, piemēram, papildu projektu atbalstīšana vai rādītāju turpmāka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uz šo brīdi aktuālajām/ sasniegtajām rādītāju vērtībā. Papildus lūdzam nodrošināt, lai šīs aktuālās rādītāju vērtības būtu iespējams identificēt arī Kohēzijas politikas fondu vadības informācijas sistēmā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4.3.2.SAM ietvaros  līdz 2029. gada 31. decembrim sasniedzami šādi Programmas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(RCO 77): atbalstīto kultūras un tūrisma objektu skaits – vismaz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(RCR 77): atbalstīto kultūras un tūrisma vietu apmeklētāju skaits – vismaz 16 500.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ierosināto grozījumu ietekmi uz projektu iesniedzējiem/ finansējuma saņēmējiem, tostarp norādot plānoto kārtību, kādā pēc grozījumu apstiprināšanas Ministru kabinetā tiks informēti finansējuma saņēmēji par grozījumu saturu un to iespējamo ietekmi uz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ierosinātajiem grozījumiem nav ietekmes uz uzsāktajiem projektiem (</w:t>
            </w:r>
            <w:r w:rsidR="00000000" w:rsidRPr="00000000" w:rsidDel="00000000">
              <w:rPr>
                <w:b w:val="1"/>
                <w:rtl w:val="0"/>
              </w:rPr>
              <w:t xml:space="preserve">16 projektu īstenošana visā Latvijas teritorijā</w:t>
            </w:r>
            <w:r w:rsidR="00000000" w:rsidRPr="00000000" w:rsidDel="00000000">
              <w:rPr>
                <w:rtl w:val="0"/>
              </w:rPr>
              <w:t xml:space="preserve">), lūdzam šo informāciju skaidri norādīt anotācijā. Tas nepieciešams, lai apliecinātu, ka grozījumu ietekmes izvērtējums ir veikts un nodrošinātu atbilstošas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 sadaļu, jo projekta aprakstā identificējamas ekonomiskās un sociālās ietekmes. Vēršam uzmanību, ka anotācijas 1. sadaļā norādīts, ka noteikumu projekts neskar sabiedrības grupas un tautsaimniecības attīstību, lai gan anotācijā kā ieguvumi minēta kultūras pakalpojumu attīstība, tūrisma attīstība, uzņēmējdarbības veicināšana un Rīgas konkurētspējas stiprināšana.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anotācijas 8.1.5. sadaļā norādīto, ka projekts neskar teritoriju attīstību. Finansējuma pārdale uz Rīgā īstenojamiem kultūras infrastruktūras projektiem pēc būtības rada ietekmi uz teritorijas attīstību un reģionālo investīciju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norādīts, ka projekts neskar teritoriju attīstību, tomēr vienlaikus gandrīz 4,35 milj. euro tiek novirzīti Lielās ģildes un Arsenāla projektiem Rīgā, pamatojot to ar Rīgas kā nacionāla un starptautiska kultūras centra konkurētspējas stiprināšanu. Pēc sākotnējā vērtējuma - tas pēc būtības ir teritorijas attīstības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8.1.8. sadaļu, jo anotācijā vairākkārt norādīta pozitīva ietekme uz sociālo iekļaušanu un kultūras pakalpojumu pieejamību dažādām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uzsvērta sociālā iekļaušana, piekļūstamība personām ar funkcionāliem traucējumiem, kultūras pakalpojumu pieejamība dažādām sabiedrības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8.1.9. sadaļu, jo projekta aprakstā ir identificējama pozitīva ietekme uz personu ar invaliditāti vienlīdzīgām iespējām un kultūras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risinājuma aprakstā īpaši uzsvērta piekļūstamība cilvēkiem ar funkcionāliem traucējumiem un universālā dizaina principi, taču 8.1.9. sadaļā norādīts, ka ietekmes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turpmāko rīcību gadījumā, ja Eiropas Komisija neatbalsta Eiropas Savienības kohēzijas politikas programmas 2021.–2027. gadam grozījumu priekšlikumus, kas saistīti ar 4.3.2. specifiskā atbalsta mērķa "Kultūras un tūrisma lomas palielināšana ekonomiskajā attīstībā, sociālajā iekļaušanā un sociālajās inovācijās" pieejamā finansējuma apmēra precizēšanu.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svītrojams, lai nedublētu jau Ministru kabineta noteikumu projekta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(26-TA-2181) Ministru kabineta sēdes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ierosinātie noteikumu projekta un Programmas grozījumi Nr.6 skar finansējuma apmēru, aicinām iesniegt Finanšu ministrijā precizētu 4.3.2.SAM rādītāju metodoloģijas aprakstu (rādītāju pasi).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ievēro, ka ir atbalstāms sociāli atbildīgs un inovatīvs iepirkums un vides prasību integrācija preču un pakalpojumu iepirkumos (zaļais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33.6.apakšpunktā.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kā arī ar parakstu apliecina, ka nepastāv interešu konflikts;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33.7. apakšpunktā ietvertās atsauces uz Eiropas Parlamenta un Padomes 2024. gada 23. septembra Regulas (ES, Euratom) 2024/2509 par finanšu noteikumiem, ko piemēro Savienības vispārējam budžetam (pārstrādātā redakcija)  61. pantu pamatotību, jo skaidrojam, ka minētais regulējums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37.2.</w:t>
            </w:r>
            <w:r w:rsidR="00000000" w:rsidRPr="00000000" w:rsidDel="00000000">
              <w:rPr>
                <w:rtl w:val="0"/>
              </w:rPr>
              <w:t xml:space="preserve"> un </w:t>
            </w:r>
            <w:r w:rsidR="00000000" w:rsidRPr="00000000" w:rsidDel="00000000">
              <w:rPr>
                <w:rtl w:val="0"/>
              </w:rPr>
              <w:t xml:space="preserve">37.3.</w:t>
            </w:r>
            <w:r w:rsidR="00000000" w:rsidRPr="00000000" w:rsidDel="00000000">
              <w:rPr>
                <w:rtl w:val="0"/>
              </w:rPr>
              <w:t xml:space="preserve"> apakšpunktā</w:t>
            </w:r>
            <w:r w:rsidR="00000000" w:rsidRPr="00000000" w:rsidDel="00000000">
              <w:rPr>
                <w:rtl w:val="0"/>
              </w:rPr>
              <w:t xml:space="preserve"> minētās izmaksas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w:t>
            </w:r>
            <w:r w:rsidR="00000000" w:rsidRPr="00000000" w:rsidDel="00000000">
              <w:rPr>
                <w:u w:val="single"/>
                <w:rtl w:val="0"/>
              </w:rPr>
              <w:t xml:space="preserve">plānotajām</w:t>
            </w:r>
            <w:r w:rsidR="00000000" w:rsidRPr="00000000" w:rsidDel="00000000">
              <w:rPr>
                <w:rtl w:val="0"/>
              </w:rPr>
              <w:t xml:space="preserve">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projekta vadības personāla izmaksu ierobežojumu aprēķina, pie minimālo izmaksu bāzes 34 422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tiešās projekta vadības personāla izmaksas, un summu reizinot ar projekta ilgumu gados. Ja projekts ilgst mazāk par gadu vai nepilnus kalendāra gadus, ierobežojums tiek aprēķināts proporcionāli projekta īstenošanas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40.punktu, ņemot vērā, ka 09.06.2025. veikti grozījumi attiecināmo izmaksu noteikšanas vadlīnijās, kurās nav iekļauti nosacījumi par ierobežojumiem projekta vadības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regulas Nr. 651/2014 9. panta 1. punkta "c" apakšpunktā un 4. punktā noteikto publicitātes pasākumu izpildi atbilstoši normatīvajam aktam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52.1.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26-TA-2147</w:t>
    </w:r>
    <w:r>
      <w:br/>
    </w:r>
    <w:r w:rsidR="00000000" w:rsidRPr="00000000" w:rsidDel="00000000">
      <w:rPr>
        <w:rtl w:val="0"/>
      </w:rPr>
      <w:t xml:space="preserve">Izdrukāts 21.09.2026.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26-TA-2147</w:t>
    </w:r>
    <w:r>
      <w:br/>
    </w:r>
    <w:r w:rsidR="00000000" w:rsidRPr="00000000" w:rsidDel="00000000">
      <w:rPr>
        <w:rtl w:val="0"/>
      </w:rPr>
      <w:t xml:space="preserve">Izdrukāts 21.09.2026.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Atzinumi_26-TA-2147.docx</dc:title>
</cp:coreProperties>
</file>

<file path=docProps/custom.xml><?xml version="1.0" encoding="utf-8"?>
<Properties xmlns="http://schemas.openxmlformats.org/officeDocument/2006/custom-properties" xmlns:vt="http://schemas.openxmlformats.org/officeDocument/2006/docPropsVTypes"/>
</file>