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Apcietinājumā turēšanas kārtības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41.</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w:t>
            </w:r>
            <w:r w:rsidR="00000000" w:rsidRPr="00000000" w:rsidDel="00000000">
              <w:rPr>
                <w:b w:val="1"/>
                <w:vertAlign w:val="superscript"/>
                <w:rtl w:val="0"/>
              </w:rPr>
              <w:t xml:space="preserve">1 </w:t>
            </w:r>
            <w:r w:rsidR="00000000" w:rsidRPr="00000000" w:rsidDel="00000000">
              <w:rPr>
                <w:b w:val="1"/>
                <w:rtl w:val="0"/>
              </w:rPr>
              <w:t xml:space="preserve">pants. Rīcība ar apcietinātā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apcietinātais atbrīvošanas dienā atstāj izmeklēšanas cietumā tam piederošu mantu, izmeklēšanas cietumā to uzglabā trīs mēnešus pēc apcietinātā atbrīvošanas. Miruša apcietinātā mantu izmeklēšanas cietumā uzglabā ne ilgāk par diviem gadiem. Pēc minēto termiņu beigām izmeklēšanas cietuma priekšnieks pieņem lēmumu par apcietinātā mantas atzīšanu par bezīpašnieka mantu, kas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 iznīcināmo valstij piekritīgo bezīpašnieka mantu izmeklēšanas cietums iznīcina Ministru kabineta noteikumos par kārtību, kādā veicama valstij piekritīgās mantas pārņemšana, glabāšana, uzskaite, realizācija, nodošana bez maksas, iznīcināšana un realizācijas ieņēmumu ieskaitīšana valsts un pašvaldību budžetā, noteiktajos gadījumos. Bezīpašnieka mantu, kas piekrīt valstij un nav iznīcināma, izmeklēšanas cietums nodod tālākai rīcībai kompetentajai institūcijai, kura nodrošina rīcību ar valstij piekritīgo mantu, atbilstoši normatīvajos aktos par rīcību ar valstij piekritīgo mantu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šī panta pirmajā daļā noteiktais, ka pēc 2 gadiem izmeklēšanas cietuma priekšnieks pieņem lēmumu par mirušā apcietinātā mantas atzīšanu par bezīpašnieka mantu, būs uzskatāma par speciālo normu attiecībā par Civillikumā noteikto par mantojuma tiesībām. Ja šāds ir mērķis, tad lūdzam papildināt attiecīgi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Bērziņa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20.11.2025.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20.11.2025.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Atzinumi_24-TA-1960.docx</dc:title>
</cp:coreProperties>
</file>

<file path=docProps/custom.xml><?xml version="1.0" encoding="utf-8"?>
<Properties xmlns="http://schemas.openxmlformats.org/officeDocument/2006/custom-properties" xmlns:vt="http://schemas.openxmlformats.org/officeDocument/2006/docPropsVTypes"/>
</file>