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izdevumu par cietušajam bērnam sniegto sociālās rehabilitācijas pakalpojumu atmaksas kārtību un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28.05.2024.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28.05.2024.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