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Datu pārvaldības stratēģiju 2026. - 2030.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2.1.2.1.i. investīcijas projektā "Vienotā kontaktu centra platformas (112) un Elektronisko notikumu žurnālu valsts un pašvaldību līmenī integrācija" paredzētajām aktivitātēm lūdzam precizēt  pielikuma "DAGR pieslēgumu plāns 2026.-2030.gadam" 13. punktu, “112” aizstājot ar “Vienotais notikumu reģistrs”, pie “Īss apraksts” norādot “Datu saņemšana.”. Vienlaikus vēršam uzmanību, ka uz Vienoto notikumu reģistru DAGR datu aprites kontekstā nav attiecināma piezīme “Institūcijas, kas datus apņēmušās (ieplānojušas) publicēt savu ANM projektu ietvaros. Datu publicēšanas fakts tiks pārbaudīts līdz 2026.gada 31.oktobrim.” jo Vienotais notikumu reģistrs saņems, bet ne izplatīs datus, izmantojot DAGR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09.10.2026.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09.10.2026.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Atzinumi_26-TA-347.docx</dc:title>
</cp:coreProperties>
</file>

<file path=docProps/custom.xml><?xml version="1.0" encoding="utf-8"?>
<Properties xmlns="http://schemas.openxmlformats.org/officeDocument/2006/custom-properties" xmlns:vt="http://schemas.openxmlformats.org/officeDocument/2006/docPropsVTypes"/>
</file>