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2.1. sadaļā iekļautais teksts nonāk pretrunā ar 7.3. sadaļā veikto aprēķinu, līdz ar to aicinām to dzēst.Tā vietā aicinām īsi aprakstīt tiesību akta ietekmi uz norādītajām mērķa grupām.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Ciukša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7.1. Projekta izpildē iesaistītās institūcijas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informāciju par mērķa grupām, dzēšot atsauci uz NVO un valsts uzņēmumiem, kas pilda valsts deleģētās funkcijas, jo par šīm mērķa grupām informācija atspoguļojama 2.anotācijas sadaļā.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Ciukša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7.2. Administratīvo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aprēķinu, jo par NVO un valsts uzņēmumiem (kas pilda valsts deleģētās funkcijas) administratīvo izmaksu aprēķins veikts jau 2.2. sadaļā. Šajā sadaļā aprēķins veicams par valsts un pašvaldību iestādēm.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Ciukša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15.05.2026.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15.05.2026.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