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kādu iemelsu dēļ izvēlētais pasākuma ieviešanas modelis neparedz, ka pasākuma ietvaros ir vienīgais projekta iesniedzējs, proti LIAA, līdzīgi kā 2014.-2020. gada plānošanas perioda 3.2.1.2. pasākumā "Starptautiskās konkurētspējas veicināšana". Šobrīd trūkst pamatojuma attiecībā otrās kārtas ieviešanas ieguvumiem, kad atbalstu paralēli saņem gan LIAA, gan komersanti. Papildus informējam, ka šāda veida ieviešanas shēma nenodrošina nozarisku ieviešanas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 2021.–2027.gadam 1.2. prioritārā virziena “Atbalsts uzņēmējdarbībai” 1.2.3. specifikā atbalsta mērķa “Veicināt ilgtspējīgu izaugsmi, konkurētspēju un darba vietu radīšanu MVU, tostarp ar produktīvām investīcijām” 1.2.3.6. pasākuma “Tūrisma produktu attīstības programma”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MK noteikumu projektu ar pasākuma mērķa grupu.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 punktu papildināt ar apakšpunktu, ka Noteikumi nosaka arī vienkāršoto izmaksu piemērošanas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darījumu tūrisms – tūrisma veids, kura mērķis ir dienesta darījumu kārtošana, komercdarbības jautājumu risināšana, piedalīšanās konferencēs, sanāksmēs un izstādēs, konferenču, kongresu, semināru, samitu organizēšana un uzņemšana, kā arī dažādu citu korporatīvo pasākumu rīkošana un koordinēšana;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MK noteikumu projekta kontekstā ir saprotams ar "dažādu citu korporatīvo pasākumu rīkošanu". Vai, piemēram, tādi varētu komandas saliedēšanas pasākumi vai organizācijas atpūtas pasākumu rīkošana (korporatīvi)? Lūdzam šādu skaidrojumu iekļaut arī MK noteikumu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inovatīvu tūrisma produktu - jauns (komplekss) tūrisma pakalpojums, kas atbilst noteiktam tūrisma veidam, kam nav vietēja mēroga analoga, saskaņā ar prioritārajiem tūrisma veidiem Latvijā (kultūra un radošās industrijas, daba, veselība, darījumi), vai pilnveidots esošais tūrisma pakalpojums, atbilstoši ceļošanas motivācijai noteiktam tūrisma tirgus segmentam (ģeogrāfiskam, demogrāfiskam, sociāli ekonomiskam, dzīvesstila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attiecībā uz to, kādā veidā, un kurš vērtēts, ka noteiktam tūrisma veidam nav vietējā mēroga analoga.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pirmās kārtas ietvaros finansējuma saņēmējs ir Latvijas Investīciju un attīstības aģentūru (turpmāk – aģentūra), otrās kārtas ietvaros sadarbības tīkls.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fondu 2021.–2027. gada plānošanas perioda vadības likuma 1. pantā noteikto finansējuma saņēmēja definīciju, finansējuma saņēmējs atbilstoši šī SAM īstenošanas veidam ir persona, kuras projekta iesniegums ir ticis apstiprināts. Ņemot vērā, ka saskaņā ar šī MK noteikumu projekta 21. punktā noteikto projekta iesniedzējs var būt arī juridiska persona, kas pārstāv plānoto sadarbības tīklu, pamatojoties uz juridisko personu vienošanos, lūdzam ar tam atbilstošu finansējuma saņēmēja veidu papildināt 8. punktu vai dzēst šādu projekta iesniedzēju no 21.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plānotais kopējais attiecināmais finansējums ir 6 525 000 euro, tai skaitā  Eiropas Reģionālās attīstības fonda (turpmāk – ERAF) finansējums 5 546 250 euro (elastības finansējuma apjoms 874 784 euro) un valsts budžeta finansējums – 978 750 euro (elastības finansējuma apjoms 154 373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šādu punktu: </w:t>
            </w:r>
            <w:r w:rsidR="00000000" w:rsidRPr="00000000" w:rsidDel="00000000">
              <w:rPr>
                <w:i w:val="1"/>
                <w:rtl w:val="0"/>
              </w:rPr>
              <w:t xml:space="preserve">"Atbildīgā iestāde pēc Eiropas Komisijas lēmuma par vidusposma pārskatu var ierosināt palielināt pasākumam pieejamo kopējo attiecināmo finansējumu līdz šo noteikumu 10. punktā minētajam plānotajam maksimālajam apmēram."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plānotais kopējais attiecināmais finansējums ir 6 525 000 euro, tai skaitā  Eiropas Reģionālās attīstības fonda (turpmāk – ERAF) finansējums 5 546 250 euro (elastības finansējuma apjoms 874 784 euro) un valsts budžeta finansējums – 978 750 euro (elastības finansējuma apjoms 154 373 euro), kas sadalās: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atsevišķi norādot arī kopējo pieejamo finansējumu bez elastības finansējuma sadalījumā pa kārtām. Vēršam uzmanību, ka atlase būs izsludināma tikai pieejamā finansējuma apjomā. Lūdzam atbilstoši precizēt visus MK noteikumu projekta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Pirmās kārtas ietvaros noteikti šādi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paredzot nacionālajiem rādītājiem sasniedzamās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Pirmās kārtas ietvaros noteikti šādi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Atkāroti lūdzam papildināt MK noteikumu projektu ar 1.2.3.SAM rezultāta rādītajiem, kā arī norādīt anotācijā, ka pasākuma ieviešana veicinās šo rezultāta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augstākminēto, vēršam uzmanību, ka no MK noteikumu projekta definētajiem uzraudzības nacionālajiem rādītājiem neizriet, ka LIAA jebkādā veidā būtu pastarpināti atbildīga par otrās kārtas rezultātiem un/vai tūrisma tīklu rezultātu ikgadējās uzlabošanos, t.sk. tādejādi sniedzot ieguldījumu NIP 21-27 viena no pamatmērķiem par eksporta apjoma palielināšanu sasniegšanu, kas pamatotu nepieciešamību pēc šādiem atbalsta un tūrismu nozares attīstību stimulējošiem pakalpojumiem 600 000 eur apmērā. Līdz ar to, lūdzam EM pārskatīt 1.kārtas ietvaros noteiktos nacionālos rādītājus, nodrošinot to sasaisti ar pasākuma mērķi par tūrisma nozares eksporta pieauguma sekmēšanu.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nacionālie rādītāji: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minētie rādītāji neizriet no ES fondu programmas 2021- 2027.gadam, aicinām dzēst šo apakšpunktu. Gadījumā, ja Ekonomikas ministrijai tomēr ir nepieciešams minētos rādītājus uzkrāt, lūdzam noteikumu projektā skaidri norādīt to, ka Atbildīgā iestāde būs atbildīga par šo rādītāju uzraudzību, kā arī paredzēt veidu, kārtību, kā tiks veikta šo rādītāju uzskaite.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pirmās kārtas ietvaros pēc šo noteikumu 11.1.1. un 11.1.2. apakšpunktos noteikto nacionālo rādītāju sasniegšanas;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11.1.1. un 11.1.2. apakšpunktos norādītajiem rādītājiem nav sasniedzamo vērtību, nav skaidrs, kādā gadījumā pirmās kārtas ietvaros būs iespējams saņemt elastības finansējumu. Lūdzu veikt attiecīgus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Otrās kārtas ietvaros šo noteikumu 16.1. apakšpunktā minēto ģeogrāfisko (reģionālo) sadarbības tīklu projektu iesniegumos norādītās teritorijas savā starpā nedrīkst pārklāties.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projektu iesniedzēji - sadarbības tīkli - veiks savstarpēju  informācijas apmaiņu, lai nodrošinātu šīs prasības izpildi (proti, šobrīd nav pārliecības, ka sadarbības tīkli būs savstarpēji informēti par teritorijām, kuras cits sadarbības tīkls plānotu iekļaut  savā projekta iesniegumā).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uz pieteikuma iesniegšanas dienu  projekta  iesniedzējs projekta ietvaros pārstāv ne mazāk kā 25 savstarpēji nesaistītus  sadarbības tīkla dalībniekus, no kuriem ne mazāk kā 15 dalībnieki pārstāv tūrisma un tūrisma saistītās nozares (saskaņā ar NACE 2. redakcijas I sadaļu “Izmitināšana un ēdināšanas pakalpojumi”; N sadaļas “Administratīvo un apkalpojošo dienestu darbība” 79. kodu “Ceļojumu biroju, tūrisma operatoru rezervēšanas pakalpojumi un ar tiem saistīti pasākumi”; R sadaļas “Māksla, izklaide un atpūta”, 91. kodu “Bibliotēku, arhīvu, muzeju un citu kultūras iestāžu darbība”, 90. kodu “Radošas, mākslinieciskas un izklaides darbības” un 93. kodu “Sporta nodarbības, izklaides un atpūtas darbība”,  Q sadaļas “Veselība un sociāla aprūpe” 86. kodu  “Veselības aizsardzība”, H sadaļas “Transports un uzglabāšana” 50.1. apakškodu “Pasažieru jūras un piekrastes ūdens transports”, 50.2. apakškodu “Pasažieru pārvadājumi piekrastes ūdeņos”, 51.1. apakškodu “Pasažieru aviopārvadājumi”, 49.1.apakškodu “Pasažieru dzelzceļa transports”, 49.3. “Pārējais pasažieru sauszemes transports”);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 "pieteikuma" aizstāt ar vārdiem "projekta iesnieguma".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sadarbības partneris piesaistīta vismaz viena pētniecības un zināšanu izplatīšanas organizācija, kura tiks iesaistīta tūrisma produktu un pakalpojumu izstrādē.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projektā paredzēts arī sadarbības partneris, norāda finansējuma saņēmēja un sadarbības partnera sadarbības pamatprincipus, pienākumus un tiesības, mērķu un rādītāju savstarpējo sasniegšanas dalījumu (ja attiecināms). Nepieciešams skaidri norādīt sadarbības partnera veicamās darbības un resursus, ar kādiem tas iesaistās projektā. Ja tiek slēgts sadarbības līgums, MK noteikumos ir jāatrunā tā galvenie aspekti (atbildība, funkcijas, utt.), taču MK noteikumos nedublē MK noteikumu “Kārtība, kādā Eiropas Savienības fondu vadībā iesaistītās institūcijas nodrošina šo fondu ieviešanu 2021.–2027.gada plānošanas periodā” (projekts) 6. punktā ietvertos nosacījumos, kādam regulējumam ir jābūt noteiktam sadarbības līgumā (kā piemēram, piešķirto finanšu līdzekļu izmaksas apturēšanas, izmaksas turpināšanas un atgūšanas kārtība). Vienlaikus aicinām izvērtēt sadarbības partnera nepieciešamību projektā (vēršam uzmanību, ka noteikumu projekts neparedz atbalstu sadarbības partnerim).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Otrās kārtas ietvaros sadarbības tīkla dalībnieks var iesaistīties vairākos sadarbības tīklos ciktāl tas nav pretrunā ar šo noteikumu 17.punktu.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iespējams nodrošināt, ka dalībnieks iesaistās vairākos sadarbības tīklos, bet vienlaikus nepārklājas tīklu teritorijas. Saskaņā ar anotācijā skaidroto, sadarbības tīkls var aptvert, piemēram, trīs novadus un vienu valstspilsētu vai divas valstspilsētas un divus novadus, tādējādi saprotams, ka tās ir 4 administratīvās vienības. Ja dalībnieks atrodas vienā administratīvajā vienībā, bet iesaistās divos dažādos tīklos, tad likumsakarīgi, ka šī dalībnieka pārstāvētā teritorija pārklāsies starp sadarbības tīkliem. Lūdzam paplašināt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sadarbības tīkla stratēģiju atbilstoši šo noteikumu </w:t>
            </w:r>
            <w:r w:rsidR="00000000" w:rsidRPr="00000000" w:rsidDel="00000000">
              <w:rPr>
                <w:rtl w:val="0"/>
              </w:rPr>
              <w:t xml:space="preserve">1. </w:t>
            </w:r>
            <w:r w:rsidR="00000000" w:rsidRPr="00000000" w:rsidDel="00000000">
              <w:rPr>
                <w:rtl w:val="0"/>
              </w:rPr>
              <w:t xml:space="preserve">pielikumam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anotācijā aprakstīt, kā projekta iesniedzējs (PI) varēs nodrošināt sadarbības tīkla stratēģijas iesniegšanu kopā ar PI, ja atbilstoši MK noteikumu projekta 34.1.2.punktam LIAA nodrošinās konsultatīva atbalsta sniegšanu potenciālajiem projektu iesniedzējiem par sadarbības tīklu stratēģiju. Vai PI 1.atlases kārtu ir plānots izsludināt agrāk par tās 2.kārtu.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dalībnieku sarakstu, norādot nosaukumu, reģistrācijas numuru un šo noteikumu 21.3., 21.4. un 21.5. apakšpunktos minētos finanšu rādītājus;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atsauci uz 21.6.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alkoholisko dzērienu ražošanai un tirdzniecībai, izņemot tūrisma nolūkos, kas nav saistīta ar ražošanu vai procesu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Neatbalstāmās nozares noteikt atbilstoši Nace klasifikatoram, jo komercdarbības atbalsta piešķiršanā tiek ņemta vērā Lursoft datu bāzē norādītā vai Valsts ieņēmumu dienestā reģistrētā gala labuma guvēja darbības nozare pēc Nace klasifikatora.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26.3. alkoholisko dzērienu ražošanai un tirdzniecībai, izņemot tūrisma nolūkos, kas nav saistīta ar ražošanu vai procesu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šīs normas būtību, jo no minētā formulējuma tā nav skaidra.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26.4. azartspēlēm un derībām;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Neatbalstāmās nozares noteikt atbilstoši Nace klasifikatoram, jo komercdarbības atbalsta piešķiršanā tiek ņemta vērā Lursoft datu bāzē norādītā vai Valsts ieņēmumu dienestā reģistrētā gala labuma guvēja darbības nozare pēc Nace klasifikatora.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26.5. ieroču un munīcijas ražošanai un tirdzniecībai.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Neatbalstāmās nozares noteikt atbilstoši Nace klasifikatoram, jo komercdarbības atbalsta piešķiršanā tiek ņemta vērā Lursoft datu bāzē norādītā vai Valsts ieņēmumu dienestā reģistrētā gala labuma guvēja darbības nozare pēc Nace klasifikatora.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Projekta iesniegumi tiek vērtēti: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Eiropas Savienības fondu 2021.–2027. gada plānošanas perioda vadības likuma 11. panta trešās daļas 4. punktā un 15. panta pirmajā daļā noteikto atbildīgā iestāde iesniedz kritērijus izskatīšanai uzraudzības komitejā, kura savukārt tos apstiprina. Vienlaikus projektu iesniegumu vērtēšanas principi ir noteikti MK noteikumu projekta "Kārtība, kādā Eiropas Savienības fondu vadībā iesaistītās institūcijas nodrošina šo fondu ieviešanu 2021.–2027.gada plānošanas periodā" 16. punktā - atkārtoti lūdzam izvairīties no normu dublēšanas un dzēst šo punktu. Vienlaikus vēršam uzmanību, ka projektu iesniegumu vērtēšanā tiek izmantoti tikai tie kritēriji, kurus uzraudzības komiteja ir apstiprinājusi, līdz ar to gadījumā, ja uzraudzības komitejā apstiprinātie kritēriji atšķirsies no šo noteikumu pielikumā pievienotajiem kritērijiem, 27. punkta apakšpunktos noteiktais neatbildīs patiesībai un kritēriju pievienošana šo MK noteikumu pielikumā kopumā ir nelietderīga (lūdzam nejaukt ar Atveseļošanas fonda investīciju īstenošanas noteikumiem). Lūdzam attiecīgi dzēst arī 2. un 3.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Otrās kārtas ietvaros sadarbības iestāde projektu iesniegumu vērtēšanas komisijas sastāvā iekļauj pārstāvjus no atbildīgās iestādes un aģentūras. Atbildīgās iestādes un aģentūras pārstāvji projektu iesniegumu vērtēšanas procesā vērtē iesniegtās sadarbības tīklu stratēģijas, atbilstoši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noteiktajiem projekta iesnieguma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atsauci uz 3.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otrās kārtas ietvaros šo noteikumu 16.1. apakšpunktā minēto ģeogrāfisko (reģionālo) sadarbības tīkla projektu iesniegumos norādītās tūrisma produktu un pakalpojumu sniegšanas teritorijas savā starpā pārklājas, tad tiek apstiprināts projekta iesniegumus, kas ieguvis augstāko punktu skaitu projektu iesniegumu vērtēšanas procesā.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ranžēšanas principus noteikt kritēriju piemērošanas metodikā, nevis MK noteikumu projektā, lai izvairītos no iespējamām pretrunām, ja AK/UK iesniegtais kritēriju komplekts paredzēs citus vai papildinošus nosacījumus. Iebildums attiecas arī uz MK notiekumu projekta 30.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Ja otrās kārtas projektu iesniegumu atlases procesā izveidojas pieejamā finansējuma atlikums, kas nav pietiekams secīgi nākamā projekta atbalstīšanai, un projekta iesniedzējs atsakās īstenot projektu ar samazinātu finansējumu, tad aģentūra izsludina jaunu projektu iesniegumu atlasi.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šo punktu un, ja tas tiek saglabāts, noteikt kvantitatīvu atlikuma vērtību, pie kuras ir izsludināma jauna atlase. Ja atlikums ir nepietiekams pat viena projekta apstiprināšanai, turklāt konceptuāli apstiprināmā projekta iesniedzējs ir noraidījis iespēju īstenot to samazinātā apjomā, arī jaunas atlases ietvaros visticamāk vai nu netiks iesniegts neviens projekts, vai arī varēs apstiprināt tikai vienu projektu, kas tad būs kāds no jau iepriekš iesniegtajiem samazinātā apjomā. Vienliakus lūdzam anotācijā skaidrot, kas saprotams ar projekta istenošanu samazinātā apjomā, kā arī MK noteikumu projektā paredzēt atbilstošu normu, kas regulē nosacījumus samazinātam apjomam, tostarp nosakot elementus, kurus ir un kurus nav ļauts samazināt (piem., rādītāji, finansējums, dalībnieku apgrozījums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iesniedzējs ir juridiska persona, kas pārstāv plānoto sadarbības tīklu, tad plānotie sadarbības tīkla dalībnieki divu mēnešu laikā pēc projekta iesnieguma apstiprināšanas nodibina sadarbības tīklu, sadarbības tīklā iekļaujot tikai tās juridiskās personas, kas parakstījušas šo noteikumu 24.5. apakšpunktā minēto vienošanos. Ja divu mēnešu laikā pēc projektu iesnieguma apstiprināšanas sadarbības tīkls netiek nodibināts, tad sadarbības iestāde noraida projekta iesniegumu.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sadarbības iestāde projekta iesniegumu apstiprinājusi (vai izdevusi atzinumu par nosacījuma izpildi), par projekta iesniegumu netiek pieņemts vēl viens lēmums, proti, par projekta iesnieguma noraidīšanu. Tādēļ aicinām precizēt šo punktu, nosakot, ka šādā gadījumā  projekta iesniedzējam noteiktā termiņā līdz līguma par projekta īstenošanu noslēgšanai ir pienākums dibināt sadarbības tīklu. Gadījumā, ja projekta iesniedzējs šo prasību neizpilda, ar projekta iesniedzēju līgums netiek slēgts. Vienlaikus vēršam uzmanību, ka saskaņā ar MK noteikumu projekta "Kārtība, kādā Eiropas Savienības fondu vadībā iesaistītās institūcijas nodrošina šo fondu ieviešanu 2021.–2027.gada plānošanas periodā" 18. punktu līgums par projekta īstenošanu ir jānoslēdz 30 darbdienu laikā no brīža, kad stājies spēkā lēmums par projekta iesnieguma apstiprināšanu vai atzinums par lēmumā ietverto nosacījumu izpildi, tādēļ aicinām pārskatīt šajā punktā noteikto divu mēnešu termiņu vai  noteikt citus ierobežojumus (piemēram, nodibināt nevis līdz līguma noslēgšanai, bet līdz pirmā maksājuma pieprasījuma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Pirmās kārtas ietvaros tiek atbalstītas šādas darbības: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vairākas 34. punktā minētās atbalstāmās darbības nav klasificējamas kā atbalstāmās darbības, proti, tie ir LIAA tiešas funkcijas un pienākumi. Piemēram, 34.1.1. punkts pārklājas ar 61.1.punktu, 34.1.2. punkts pārklājas ar 61.2. punktu, 34.1.4. punkts pārklājas ar 61.5. punktu, 34.1.3. punkts pārklājas ar 61.6. punktu, 34.2.1. punkts pārklājas ar 61.11. punktu, 34.1.5. punkts pārklājas ar 61.10.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atbalstāmās darbības, kuras  aģentūra īsteno ārpakalpojuma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34.2. apakšpunktu, jo no šī brīža redakcijas nav skaidrs, vai aģentūra īstenos minētās aktivitātes kā ārpakalpojuma sniedzējs vai piesaistīs ārpakalpojuma veicēju, kas nodrošinās minētās aktivitātes. Kā arī, lūdzam anotācijā skaidrot, ka īstenojot 34.2.apakšpunktā minētās aktivitātes aģentūra darbojas kā starpnieks un pats ekonomisko priekšrocību negūst. Līdztekus lūdzam anotācijā precizēt, vai aģentūra 1.kārtas ietvaros darbojas savas deleģētās funkcijas ietvaros ne tikai uz 34.1.2. apakšpunktu, bet uz visu 34.punktu.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 atbalstāmās darbības, kuras  aģentūra īsteno ārpakalpojuma veidā: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saprotams "darbības, kuras aģentūra īsteno ārpakalpojuma veidā". Ja ar šo saprotams, ka izmaksas aģentūrai radīsies, iepērkot ārpakalpojumu, aicinām šo neizdalīt kā atsevišķu punktu, bet gan secīgi uzskaitīt kā 34.1. punkta apakšpunktus - darbības īstenošanas formāts nav būtisks. Ir ticams, ka arī 34.1.1. apakšpunktā noteiktā darbība "informācijas izplatīšana par pasākumu" aptvers zināmas ārpakalpojuma veidā radušās izmaksas, piemēram, drukas pakalpojumi u.c. Taču faktu, ka ar šīm darbībām saistītās izmaksas ir attiecināmas ārpakalpojuma formātā, aicinām noteikt, precizējot 37.2. un 37.3. apakšpunktus, piemēram, izsakot kā "apmācību nodrošinātāja pakalpojuma izmaksas" un "konferenču un pakalpojumu organizēšanas pakalpojuma 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tīklošanās pasākumu un noslēguma konferences organizēšana.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kādēļ 34.2.2. apakšpunktā minētās izmaksas nav uzskatāmas par tādam, kas sniedz komercdarbības atbalstu gala labuma guvējam, piemēram, skaidrojot, ka konferences ir vispārīgas, kurās dalību var ņemt ikviens saimnieciskās darbības veicējs vai arī kurās iegūtās zināšanas nedod tiešu labumu gala labuma guvēja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darbības, kas saistītas ar projekta vadību;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konkrētiem šādu darbību piemēriem.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Otrās kārtas ietvaros sadarbības tīkls savās aktivitātēs var iesaistīt sadarbības partnerus, ja šīs darbības ir saistītas ar šo noteikumu 4. punktā minēto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skaidri noteikt, kādas sadarbības partnera izmaksas var tikt attiecinātas.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Otrās kārtas ietvaros sadarbības tīkls savās aktivitātēs var iesaistīt sadarbības partnerus, ja šīs darbības ir saistītas ar šo noteikumu 4. punktā minēto mērķa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FM iebildumu, kas iekļauts izziņas 103.punktā un lūdzam papildināt MK noteikumu projektu attiecībā uz atbalstu sadarbības partnerim. Ja atbalsts sadarbības partnera aktivitātēm kvalificējams kā komercdarbības atbalsts, tas jāsniedz saskaņā ar Komisijas regulu Nr. 1407/2013. Papildus lūdzam pārskatīt visu MK noteikumu projektu attiecībā uz tajā ietverto nosacījumu attiecināšanu arī uz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Attiecināmās un neattiecināmās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ES fondu 2021.-2027.gada plānošanas periodā atbildīgā iestāde specifiskā atbalsta mērķa (turpmāk- SAM), Eiropas Savienības (turpmāk- ES) fondu projektu plānošanas, īstenošanas posmā, tai skaitā, veicot grozījumus SAM īstenošanas kārtībā vai ES fonda projektā, neplāno neattiecināmās izmaksas. Izņēmuma gadījums: Īpaši pamatotos gadījumos ar atsevišķu Ministru kabineta lēmumu var lemt par neattiecināmajām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šajā sadaļā iekļauto informāciju, nepieciešamības gadījumā anotācijā iekļaujot papildus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personāla atlīdzības izmaksas, tai skaitā darba alga, valsts sociālās apdrošināšanas obligātās iemaksas, atvaļinājuma izmaksas un veselības apdrošināšanas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37.1. apakšpunktā minētajām izmaksām piemērot vienkāršotās izmaksas, lai nodrošinātu vienlīdzīgu pieeju vienādu izmaksu attiecināšanā un mazinātu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sadarbības tīklam šo noteikumu 35. punktā minēto atbalstāmo darbību īstenošanā ir attiecināmas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neizpildās Regulas Nr.2021/1060 53.panta 2.punkta nosacījums par obligātu vienkāršoto izmaksu piemērošanu visām izmaksām, ņemot vērā, ka tiek sniegts atbalsts sadarbības tīkla dalībniekiem un pirmšķietami finansējuma apmērs vienam dalībniekam nepārsniegs 200 000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piesaistot projekta vadības un projekta īstenošanas  personālu uz uzņēmuma līguma pamata;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39. punkta, t.sk. tā apakšpunktu redakcijas, ņemot vērā, ka piesaistot personālu uz uzņēmuma līguma pamata, atvaļinājuma izmaksas un veselības apdrošināšanas izmaksas nav paredzētas atbilstoši nacionālajam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39.4. pētniecības un zināšanu izplatīšanas organizāciju pakalpojuma iegādes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kādu pakalpojumu iegāde var tikt veikta (arī 39.2. un 39.3. apakšpunktos noteiktās izmaksas var rasties, iepērkot pakalpojumu no pētniecības un zināšanu izplatīšanas organizācijām).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iekšzemes komandējuma izmaksas, tai skaitā transporta, naktsmītnes un dienas naudas izmaksas, iekšzemes komandējuma izmaksas, izmaksas attiecināmas atbilstoši Finanšu ministriju (turpmāk - vadošā iestāde)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09.12.2022. apstiprinātos grozījumus, lūdzam MK noteikumu projektā un anotācijā precizēt metodikas nosaukumu uz "Vienas vienības izmaksu standarta likmes aprēķina un piemērošanas metodika iekšzemes komandējumu izmaksām darbības programmas “Izaugsme un nodarbinātība” un Eiropas Savienības kohēzijas politikas programmas 2021.–2027.gadam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sadarbības tīkla projekta vadības un projekta īstenošanas personāla komandējumu izmaksas, tai skaitā transporta, naktsmītnes un dienas naudas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39.6. un 39.5. apakšpunktā noteiktās izmaksas savstarpēji daļēji pārklājas, tādēļ lūdzam papildināt/precizēt 39.6. apakšpunktu, definējot, uz kādiem komandējumiem tas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39.6. sadarbības tīkla projekta vadības un projekta īstenošanas personāla komandējumu izmaksas, tai skaitā transporta, naktsmītnes un dienas naudas izmaksas;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vadošās iestādes vadlīniju Nr.1.2. "Vadlīnijas attiecināmo izmaksu noteikšanai Eiropas Savienības kohēzijas politikas programmas 2021.-2027.gada plānošanas periodā" 47.punktā iekļauto 62.atsauci: ārvalstu komandējumu izmaksas attiecināmas tikai projekta īstenošanas personālam un projekta vadītājam.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39.11. pieejas tiesību iegāde ārējām datubāzēm, kas saistītas 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vai izmaksas par pieejas tiesību iegādi ārējām datubāzēm nebūtu sedzamas no netiešo izmaksu likmes.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39.12. izmaksas, kas saistītas ar šo noteikumu 55. punktā minēto Eiropas Klasteru ekselences iniciatīvas novērtējuma saņemšanu (www.cluster-analysis.org);</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precīzi definēt, tieši kādas izmaksu pozīcijas ir atbalstāmas.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39.1. apakšpunktā noteiktās izmaksas ir attiecināmas atbilstoši atbildīgās iestādes izstrādātajai vienkāršoto izmaksu metodikai, kas saskaņota ar vadošo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arī ar 37.1.punktu, ka 37.1.punktā norādītām izmaksām tiks piemērotas vienkāršoto izmaksu metodikas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Pasākuma otrās kārtas ietvaros izmaksas ir attiecināmas, ja tās atbilst šajos noteikumos minētajām izmaksu pozīcijām un ir radušās ne agrāk par brīdi, kad projekta iesniedzējs iesniedzis projekta iesniegumu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MK noteikumu projektu ar punktu, kas nosaka izdevumu attiecināmības termiņu pasākuma 1.atlases kārtai.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Otrās kārtas ietvaros sadarbības tīkls var saņemt avansa maksājumu saskaņā ar normatīvajiem aktiem par kārtību, kādā plāno valsts budžeta līdzekļus Eiropas Savienības struktūrfondu un Kohēzijas fonda projektu īstenošanai un veic maksājumus 2021.–2027. gada plānošanas periodā,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"kārtību, kādā plāno valsts budžeta līdzekļus Eiropas Savienības struktūrfondu un Kohēzijas fonda projektu īstenošanai un veic maksājumus 2021.–2027. gada plānošanas periodā" ar vārdiem "valsts budžeta līdzekļu plānošanas kārtību Eiropas Savienības fondu projektu īstenošanai un maksājumu veikšanai 2021.-2027.gada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avansa maksājums nepārsniedz 35 % no projektam piešķirtā ERAF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pamatojumu 35% avansa apmēram, jo vēršam uzmanību, ka normatīvais akts, kas paredz valsts budžeta līdzekļu plānošanas kārtību Eiropas Savienības fondu projektu īstenošanai un maksājumu veikšanai 2021.-2027.gada plānošanas periodā nosaka maksimālo avansa apmēru 30% apmērā, ja vien normatīvajā aktā par specifiskā atbalsta mērķa īstenošanu nav norādīts citādi ar atbilstošu pamatojumu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Sadarbības iestāde pirmās kārtas ietvaros aģentūrai un otrās kārtas ietvaros sadarbības tīklam izmaksājamo finansējuma apjomu nosaka, pamatojoties uz projekta attiecināmo izmaksu tāmi un attiecināmās izmaksas pamatojošiem dokumentiem, ievērojot normatīvo aktu prasības maksājumu un darījumu apliecinošo dokumentu izstrādāšanas un noformēšanas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atsakoties no termina "projekta attiecināmo izmaksu tāmi". Vēršam uzmanību, ka noteikumu projektā nav noteikts, ka jāeksistē tāmei bvai ka tāda būtu jāiesniedz.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Aģentūrai ir šādi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ar nosacījumu, ka aģentūra nodrošina  informācijas un publicitātes pasākumus saskaņā ar regulas Nr.2021/1060 47.pantu un 50.pantu, un normatīvajiem aktiem par Eiropas Savienības fondu ieviešanu 2021.-2027.gada plānošanas periodā, kā arī Eiropas Savienības fondu 2021.-2027. gada plānošanas perioda un Atveseļošanās fonda komunikācijas un dizaina vadlīnijas vai atbilstoši precizēt 54.punktu.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Sadarbības tīkla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ar nosacījumu, ka sadarbības tīkls nodrošina  informācijas un publicitātes pasākumus saskaņā ar regulas Nr.2021/1060 47.pantu un 50.pantu un normatīvajiem aktiem par Eiropas Savienības fondu ieviešanu 2021.-2027.gada plānošanas periodā, kā arī Eiropas Savienības fondu 2021.-2027. gada plānošanas perioda un Atveseļošanās fonda komunikācijas un dizaina vadlīnijas vai atbilstoši precizēt 54.punktu.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62.2. līdz līguma parakstīšanai par projekta īstenošanu izstrādāt kārtību atbalsta piešķiršanai sadarbības tīkla dalībniekiem, saskaņojot to ar sadarbības iestādi;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iestādes pienākumos saskaņā ar Eiropas Savienības fondu  2021.-2027.gada plānošanas perioda vadības likumu neietilpst sadarbības tīklu iekšējo kārtību saskaņošana, tāpēc lūdzam dzēst vai paredzēt, ka dokuments tiek saskaņots ar aģentūru vai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62.3. līdz līguma parakstīšanai par projekta īstenošanu izstrādāt iekšējās kontroles sistēmu (iekšējo kārtību), ietverot tajā informāciju par interešu konflikta, krāpšanas, korupcijas risku un dubultā finansējuma novēršanas mehānismiem, saskaņojot to ar sadarbības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iestādes pienākumos saskaņā ar Eiropas Savienības fondu  2021.-2027.gada plānošanas perioda vadības likumu neietilpst sadarbības tīklu iekšējo kārtību saskaņošana, tāpēc dzēst vai paredzēt, ka dokuments tiek saskaņots ar aģentūru vai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Kalenda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Otrās kārtas ietvaros finansējumu šo noteikumu 39. punktā minēto izmaksu segšanai sniedz saskaņā ar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kas iekļauts izziņas 121.punktā. Vēršam uzmanību, ka Ministru kabineta noteikumu Nr.715 21.punkts paredz, ka atbalsta pretendents, iesniedzot atbalsta sniedzējam pieteikumu de minimis atbalsta saņemšanai, pieteikumam pievieno sistēmā sagatavotās veidlapas (1. pielikums) izdruku vai norāda sistēmā izveidotās un apstiprinātās pretendenta veidlapas identifikācijas numuru, un lūdzam ar atbilstošu nosacījumu papildināt noteikumu projektu, lai atbalsta pretendentam šis pienākums ir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Pasākuma maksimāli pieļaujamā ERAF finansējuma intensitāte no projekta kopējām attiecināmajām izmaksām ir 95 %.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10. punktā norādītajam finansējumam, ERAF finansējuma intensitāte ir 85%. Līdz ar to lūdzam precizēt šo punktu un salāgot intensitāti ar MK noteikumu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aģentūra pirmās kārtas ietvaros nodrošina ar komercdarbības atbalsta saņemšanu saistīto dokumentu glabāšanu 10 fiskālos gadus, sākot no dienas, kurā saskaņā ar šo noteikumu projektu piešķirts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74.2.apakšpunktu, ņemot vēra, ka aģentūra, kā to skaidrojat, šo noteikumu ietvaros nav komercdarbības atbalsta saņēmēja.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Otrās kārtas ietvaros projekta grozījumi par jauna </w:t>
            </w:r>
            <w:r w:rsidR="00000000" w:rsidRPr="00000000" w:rsidDel="00000000">
              <w:rPr>
                <w:i w:val="1"/>
                <w:rtl w:val="0"/>
              </w:rPr>
              <w:t xml:space="preserve">de minims</w:t>
            </w:r>
            <w:r w:rsidR="00000000" w:rsidRPr="00000000" w:rsidDel="00000000">
              <w:rPr>
                <w:rtl w:val="0"/>
              </w:rPr>
              <w:t xml:space="preserve"> atbalsta piešķiršanu, iespējami tikai tad, ja  sadarbības tīkls un sadarbības tīkla dalībnieki atbilst visām regulā Nr. 1407/2013, kā arī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punkts nav pilnībā saprotams, jo atbalsts, ko saņem finansējuma saņēmējs, var būt tāds, kas tiek piešķirts finansējuma saņēmējam kā de minimis atbalsts, vai tāds, kas tiek piešķirts finansējuma saņēmējam, lai tālāk piešķirtu kā de minimis atbalstu gala labuma guvējiem un finansējuma saņēmējs tad ir tikai starpnieks, jo no tā labumu negūst. Lūdzam precizēt tekstu, kā arī lūdzam anotācijā iekļaut skaidrojumu, ka šajā punktā minētā prasība attiecas uz jauna de minimis atbalsta piešķiršanu, ja ar projekta grozījumiem tiek palielināts projekta finansējums. Skaidrojam, ka šis nosacījums nav attiecināms uz gadījumiem, kad projekta grozījumi neskar finansējuma palielinājumu, jo tad projekta grozījumiem nav saistības ar regulā Nr. 1407/2013, kā arī normatīvajos aktos par de minimis atbalsta uzskaites un piešķiršanas kārtību un de minimis atbalsta uzskaites veidlapu paraugiem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Otrās kārtas ietvaros projekta grozījumi par jauna </w:t>
            </w:r>
            <w:r w:rsidR="00000000" w:rsidRPr="00000000" w:rsidDel="00000000">
              <w:rPr>
                <w:i w:val="1"/>
                <w:rtl w:val="0"/>
              </w:rPr>
              <w:t xml:space="preserve">de minims</w:t>
            </w:r>
            <w:r w:rsidR="00000000" w:rsidRPr="00000000" w:rsidDel="00000000">
              <w:rPr>
                <w:rtl w:val="0"/>
              </w:rPr>
              <w:t xml:space="preserve"> atbalsta piešķiršanu, iespējami tikai tad, ja  sadarbības tīkls un sadarbības tīkla dalībnieki atbilst visām regulā Nr. 1407/2013, kā arī normatīvajos aktos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dzēst šo punktu, jo jauna de minimis atbalsta piešķiršanā vienmēr tiek pārbaudīts, vai atbalsta saņemējs atbilst regulas Nr. 1407/2013 prasībām,  un norādām, ka ir nesamērīgi katru līguma grozījumu gadījumā pārvērtēt visu sadarbības tīkla dalībnieku atbilstību, jo īpaši ņemot vērā, ka sadarbības iestāde nepiešķir atbalstu dalībniekiem.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Ja otrās kārtas ietvaros tiek pārkāptas šajos noteikumos noteiktās komercdarbības atbalsta kontroles normas, tostarp nosacījumi, kas izriet no Komisijas regulas Nr.1407/2013, finansējuma saņēmējam ir pienākums atmaksāt sadarbības iestādei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nelikumīga komercdarbības atbalsta atgūšanas redakciju, ņemot vērā, 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sadarbības tīkla dalībnieka de minimis atbalstu tiek attiecinātas arī šo noteikumu 37.2. apakšpunktā minētās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vispārīgajām komercdarbības atbalsta kontroles normām izriet, ka nelikumīgu komercdarbības atbalstu atbalsta saņēmējs atmaksā atbalsta sniedzējam. Šajos MK noteikumos paredzēts, ka atsevišķos gadījumos atbalstu sniedz nevis sadarbības iestāde, bet sadarbības tīkls, attiecīgi nelikumīga atbalsta gadījumā gala labuma guvēja saņemtais nelikumīgais atbalsts būtu atmaksājams sadarbības tīklam, nevis sadarbības iestādei. Papildus, protams, no MK noteikumu projekta jābūt skaidram, kā, piemēram, sadarbības tīkls tālāk drīkst rīkoties ar saņemto nelikumīgā atbalsta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iebildumu, kas izteikts pie noteikumu projekta 36.punkta, normu nepieciešams attiecināt arī uz sadarbības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pie problēmu apraksta saglabāt informāciju NIP pamatnostādņu 2021-2027 galveno mērķis ir palielināt eksporta apjomu līdz 22 miljardiem euro 2023. gadā un līdz 27 miljardiem euro 2027. gadā un , ka tūrisma nozare dod pienesumu šī mērķa sasniegšanā. Tāpat minot, ka par spīti būtiskajiem Covid-19 izaicinājumiem, tūrisma nozares specifiskais NIP rādītājs - vieta Tūrisma konkurētspējas indeksā - sasniegts 2021. gadā (sasniegta 48. pozīcija, plānota 50. pozīcija 2027. gadā), kas skaidrojams ar jaunas metodoloģijas ieviešanu indeksa aprēķināšanā.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tūrisma nozari 2022.gada vasaras sezonā, redzam stabilu tūrisma nozares atkopšanos pēc Covid-19 pandēmijas radītās negatīvās ietekmes. Turpmāk nozares attīstība tiek vērtēta kontekstā ar kopējā eksporta apjoma palielināšanu, kas ir viens no NIP mērķiem Lai virzītos uz ārvalstu vairākdienu ceļotāju Latvijā kopējo izdevumu apjoma pieaugumu līdz 540 milj. euro gadā, nepieciešams būtiski dažādot Latvijas tūrisma piedāvājumu, palielināt ienākošā tūrisma plūsmu un veicināt ceļotājus uzturēties Latvijā ilgāk, izmantojot dažādus pakalpojumus, veicinot viena ceļotāja vidējo izdevumu diennaktī pieaugumu (info.avots: Par Nacionālās industriālās politikas pamatnostādņu 2021. – 2027. gadam īstenošanas gaitu” 2021.gadā.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"Pirmās kārtas ietvaros aģentūrai tiek piešķirts finansējums ar mērķi īstenot pasākuma otro kārtu un sekmēt tūrisma nozares eksporta pieaugumu", jo esošā redakcija ir neloģiska.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sniegt informāciju, cik darbiniekus no LIAA plānots iesaistīt 1.kārtas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rindkopu, kurā ir minēti pasākuma uzraudzības rādītāji, vārdu salikumu "sasniedzamie rādītāji" izsakot šādi: "iznākuma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un balstoties uz ko tika noteikts, ka tīklā ir jābūt ne mazāk kā 25 savstarpēji nesaistītiem sīkajiem un MVK un ne mazāk kā 15 tūrisma nozari pārstāvošie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apakšsadaļas "Atbalstāmās un neatbalstāmās darbības" pirmo rindkopu, ņemot vērā Finanšu ministrijas iebildumu, kas izteikts attiecībā uz MK noteikumu projekta 34.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Centrālās finanšu un līgumu aģentūrai izsludināt projektu pieteikumu atlasi pēc Eiropas Komisijas lēmuma par Latvijas virzītās Eiropas Savienības kohēzijas politikas programmas 2021.–2027.gadam apstiprināšanas un pēc projekta vērtēšanas kritēriju apstiprināšanas Uzraudzības komitejā.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Kohēzijas programma 2021.-2027. gadam jau ir tikusi apstiprināta 2022. gada 25 novembrī, līdz ar to ierosinām MK p/l 3.punktā svītrot vārdus "pēc Eiropas Komisijas lēmuma par Latvijas virzītās Eiropas Savienības kohēzijas politikas programmas 2021.–2027.gadam apstiprināšanas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Otrās kārtas ietvaros atbalstu sniedz šādiem sadarbības tīklu veidiem: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"atbalstu sniedz" uz "finansējumu piešķir", lai ievērotu Eiropas Savienības fondos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34.1.5. pārbaužu veikšana par dubultā finansējuma situāciju, korupcijas, krāpšanas riska un interešu konflikta pazīmēm;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un/vai papildināt apakšpunktu ar informāciju, vai šīs pārbaudes attiecas uz 2. kārtas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Pirmās kārtas ietvaros aģentūrai šo noteikumu 34. punktā minēto atbalstāmo darbību īstenošanā ir attiecināmas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 attiecīgo daļu redakcionāli precizēt uz "paredzētas šādas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Otrās kārtas ietvaros sadarbības tīklam šo noteikumu 35. punktā minēto atbalstāmo darbību īstenošanā ir attiecināmas šādas tiešās attiecināmās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punkta attiecīgo daļu precizēt uz "paredzētas šādas tiešās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39.5. iekšzemes komandējuma izmaksas, tai skaitā transporta, naktsmītnes un dienas naudas izmaksas, iekšzemes komandējuma izmaksas, izmaksas attiecināmas atbilstoši Finanšu ministriju (turpmāk - vadošā iestāde) izstrādātajām metodikām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apakšpunkta attiecīgo daļu uz "Finanšu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39.8. mārketinga un atpazīstamības veicināšanas izmaksas, tai skaitā teksta sagatavošanas, tulkošanas, materiālu transportēšanas un maketa sagatavošanas izmaksas u.c.;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39.8.apakšpunktā minētas projektā plānotās izmaksas paredzēt kā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39.9. nozarei specifisku praktisko un tematisko apmācību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projektā plānotās apmācību izmaksas paredzēt kā vienkāršotās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Baha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Otrās kārtas ietvaros noteikti šādi izmaksu ierobežojumi: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41. punkta apakšpunktus papildināt, ka ierobežojums ir noteikts no projekta kopējām attiecināmajām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Otrās kārtas ietvaros sadarbības tīkls pirms pēdējā maksājuma pieprasījuma iesniegšanas iesniedz aģentūrai šo noteikumu 24.3. apakšpunktā minēto nodokļu nomaksas plāna atskaiti, kurā norādīta nomaksāto nodokļu kopsumma.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termina "aģentūra" lietojumu šajā punktā (proti, vai nodokļu nomaksas plāna atskaite iesniedzama aģentūrai). Ja paredzēts, ka šie dati tiek iesniegti aģentūrai, tad nav saprotama nepieciešamība šo plānu iesniegt kopā ar projekta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Otrās kārtas ietvaros finansējumu šo noteikumu 39. punktā minēto izmaksu segšanai sniedz saskaņā ar regulu Nr. 1407/2013 un normatīvajiem aktiem par </w:t>
            </w:r>
            <w:r w:rsidR="00000000" w:rsidRPr="00000000" w:rsidDel="00000000">
              <w:rPr>
                <w:i w:val="1"/>
                <w:rtl w:val="0"/>
              </w:rPr>
              <w:t xml:space="preserve">de minimis</w:t>
            </w:r>
            <w:r w:rsidR="00000000" w:rsidRPr="00000000" w:rsidDel="00000000">
              <w:rPr>
                <w:rtl w:val="0"/>
              </w:rPr>
              <w:t xml:space="preserve"> atbalsta uzskaites,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ievērojot šādus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66.punktā nav aptverti visi komercdarbības atbalsta regulējuma nosacījumi, kas iekļauti šajos noteikumos, taču no punkta ievaddaļas var nekorekti secināt, ka tajā ir uzskaitīti visi nosacījumi, kas jāievēro, aicinām izvērtēt iespēju papildināt šo punktu arī ar citiem nosacījumiem, kas ietverti šobrīd atsevišķos punktos, t.sk. kas izriet no regulas Nr. 1407/2013, piemēram, kas šobrīd iestrādāti noteikumu projekta 72. un 74.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Zakovska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finansiālo ietekmi norādīt arī anotācijas 3.sadaļas 5.1.apakšpunktā.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šādus tehniskus/redakcionālus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sadaļā "Attiecināmās un neattiecināmās izmaksas" 1. un 3.rindkopā attiecīgo teikumu daļas precizēt uz "[..] paredzētas šādas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iekšzemes komandējumu izmaksām- lūdzam attiecīgos vārdus precizēt uz "[..] Finanšu ministrijas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šo anotācijas sadaļu, papildinot to arī ar pasākuma finansējumu bez elastības.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14.12.2022. 15.22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22-TA-2394</w:t>
    </w:r>
    <w:r>
      <w:br/>
    </w:r>
    <w:r w:rsidR="00000000" w:rsidRPr="00000000" w:rsidDel="00000000">
      <w:rPr>
        <w:rtl w:val="0"/>
      </w:rPr>
      <w:t xml:space="preserve">Izdrukāts 14.12.2022. 15.22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Atzinumi_22-TA-2394.docx</dc:title>
</cp:coreProperties>
</file>

<file path=docProps/custom.xml><?xml version="1.0" encoding="utf-8"?>
<Properties xmlns="http://schemas.openxmlformats.org/officeDocument/2006/custom-properties" xmlns:vt="http://schemas.openxmlformats.org/officeDocument/2006/docPropsVTypes"/>
</file>