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1.3.sadaļā minēto, ka “</w:t>
            </w:r>
            <w:r w:rsidR="00000000" w:rsidRPr="00000000" w:rsidDel="00000000">
              <w:rPr>
                <w:i w:val="1"/>
                <w:rtl w:val="0"/>
              </w:rPr>
              <w:t xml:space="preserve">Ņemot vērā Direktīvā 2018/2001 un Enerģētikas likumā iekļauto "atbalsta shēmas" definīciju, ir saprotams, ka "atbalsta shēma" ir arī jebkādas nacionāli piemērotās nodokļu atlaides, nodokļu atbrīvojumi vai atvieglojumi, tomēr, ņemot vērā Eiropas Komisijas ekspertu skaidrojumu, visi nodokļu atbrīvojumi vai atvieglojumi, kas ir jau noteikti vai pieļauti Eiropas Savienības tiesību aktos, nav uzskatāmi par nacionālo atbalsta shēmu. Līdz ar to par nacionālo atbalsta shēmu, uz kuru būtu attiecināms biomasas kaskadēšanas princips, nebūtu uzskatāms tāds atbalsts kā samazinātā pievienotā nodokļa likme koksnes kurināmajam vai mazāks akcīzes nodoklis biomasas degvielām, jo šādas iespējas jau ir noteiktas Eiropas Savienības tiesību aktos.</w:t>
            </w:r>
            <w:r w:rsidR="00000000" w:rsidRPr="00000000" w:rsidDel="00000000">
              <w:rPr>
                <w:rtl w:val="0"/>
              </w:rPr>
              <w:t xml:space="preserve">”, atkārtoti skaidrojam, ka gadījumos, kad ES regulējumā ir paredzēta imperatīva norma, kas ir obligāti piemērojama visām dalībvalstīm, ar kuru paredzēts, piemēram, nodokļa atbrīvojums, tad šāds pasākums neparedz dalībvalsts rīcības brīvību šīs normas piemērošanā un tādējādi šādu normu ieviešana nebūtu jāvērtē komercdarbības atbalsta regulējuma kontekstā. Savukārt, gadījumos, kad ES regulējums paredz rīcības brīvību dalībvalstīm normā paredzētā nodokļa atvieglojuma piemērošanā vai apmērā noteikšanā, tad šādas normas ieviešana ir jāvērtē atbilstoši komercdarbības atbalsta kontroles regulējumam, kas var kvalificēties kā nacionālā atbalsta shēma Enerģētikas likuma izpratnē. Līdz ar to lūdzam precizēt iepriekš minēto rindkopu likumprojekta anotācijā. Vienlaikus lūdzam skatīt arī Finanšu ministrijas 28.10.2024 iebildumā sniegto skaidrojumu, kas ir iekļauts izziņas 14.punktā.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izziņas 14.punktā sniegto Klimata un enerģētikas ministrijas skaidrojumu, ka </w:t>
            </w:r>
            <w:r w:rsidR="00000000" w:rsidRPr="00000000" w:rsidDel="00000000">
              <w:rPr>
                <w:i w:val="1"/>
                <w:rtl w:val="0"/>
              </w:rPr>
              <w:t xml:space="preserve">“likumprojekts neparedz kādas atkāpes no komercdarbības atbalsta kontroles nosacījumiem vai atbalsta shēmu saskaņošanu ar Eiropas Komisiju, bet tas definē kaskadēšanas principu, kas jāņem vērā nacionālo atbalsta shēmu nosacījumos</w:t>
            </w:r>
            <w:r w:rsidR="00000000" w:rsidRPr="00000000" w:rsidDel="00000000">
              <w:rPr>
                <w:rtl w:val="0"/>
              </w:rPr>
              <w:t xml:space="preserve">”, lai nodrošinātu viennozīmīgu izpratni par likumprojekta korelāciju ar komercdarbības atbalsta kontroles regulējuma piemērošanu, lūdzam iepriekšminēto skaidrojumu iekļaut arī likumprojekta anotācijas 1.3.sadaļas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02.12.2024. 13.44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02.12.2024. 13.44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Atzinumi_24-TA-1475.docx</dc:title>
</cp:coreProperties>
</file>

<file path=docProps/custom.xml><?xml version="1.0" encoding="utf-8"?>
<Properties xmlns="http://schemas.openxmlformats.org/officeDocument/2006/custom-properties" xmlns:vt="http://schemas.openxmlformats.org/officeDocument/2006/docPropsVTypes"/>
</file>