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(26. lpp.) "IZM rosina ar 2024. gada 1. septembri veikt nepieciešamos grozījumus normatīvajos aktos, lai uzlabotu darba slodzes sadalījuma regulējumu profesionālās ievirzes skolotājiem, sporta treneriem un interešu izglītības skolotājiem un sākot ar 2025. gada 1. septembri ieviest pārējos augstākminētos principus un metodoloģijas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tiek skaidrots, ka "Sakarā ar plānotajām izmaiņām no 2024. gada 1. septembra ir paredzēts pieprasīt papildu finansējumu, lai būtu iespējams nodrošināt profesionālās ievirzes un interešu izglītības pedagogu slodžu balansēšanu atbilstoši Ministru kabineta noteikumu Nr.445 “Pedagogu darba samaksas noteikumi” grozījumu projektā 24-TA- 685 norādītajam. " Tomēr  ziņojumā nav informācijas par piedāvāto izmaiņu finansiālo ietekmi un to, no kādiem līdzekļiem tiks segts pieaugums. Iepazīstoties ar skaidrojumu, nojaušams, ka finansējuma jautājums joprojām ir neskaidrs. Lūdzam papildināt ziņojumu ar informāciju par rīcību gadījumā, ja ziņojumā piedāvāto izmaiņu īstenošanai netiks piešķirts papildu finansējums (ja šis ziņojums tiks pieņems, tas būs spēkā esošs).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18.06.2024. 23.56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18.06.2024. 23.56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