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r w:rsidR="00000000" w:rsidRPr="00000000" w:rsidDel="00000000">
              <w:rPr>
                <w:b w:val="1"/>
                <w:rtl w:val="0"/>
              </w:rPr>
              <w:t xml:space="preserve">pēc iespējas</w:t>
            </w:r>
            <w:r w:rsidR="00000000" w:rsidRPr="00000000" w:rsidDel="00000000">
              <w:rPr>
                <w:rtl w:val="0"/>
              </w:rPr>
              <w:t xml:space="preserve"> ņem vērā sabiedrības pārstāvju specifiskās vajadzības (piemēram, sagatavo informāciju par apspriežamo jautājumu, ievērojot vieglās valodas principus, nodrošina iespēju pievienoties apspriedei attālināti, rīko apspriedi tuvāk tiešajai mērķgrupai, </w:t>
            </w:r>
            <w:r w:rsidR="00000000" w:rsidRPr="00000000" w:rsidDel="00000000">
              <w:rPr>
                <w:b w:val="1"/>
                <w:rtl w:val="0"/>
              </w:rPr>
              <w:t xml:space="preserve">nodrošina iespēju piedalīties personām ar kustību traucējumiem,</w:t>
            </w:r>
            <w:r w:rsidR="00000000" w:rsidRPr="00000000" w:rsidDel="00000000">
              <w:rPr>
                <w:rtl w:val="0"/>
              </w:rPr>
              <w:t xml:space="preserve"> sniedz atbalstu dalības pieteikšanai gadījumā, ja personai nav pietiekamas digitālās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sašaurinātu cilvēku ar invaliditāti vajadzību uztveri līdzdalības procesā, norādām uz valsts un pašvaldību pienākumu samazināšanu. Atbilstoši ANO Konvencijai par cilvēku ar invaliditāti tiesībām, cilvēki, kuriem ir ilgstoši fiziski, garīgi, intelektuāli vai maņu traucējumi, kas mijiedarbībā ar dažādiem šķēršļiem var apgrūtināt pilnvērtīgu un efektīvu līdzdalību sabiedrības dzīvē vienlīdzīgi ar citiem. Visiem cilvēkiem ar invaliditāti, ne tikai cilvēkiem ar kustību traucējumiem, ir jābūt pieejamām tādām pašām iespējām kā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 ka norādot sabiedrības pārstāvju specifiskās vajadzības, nav analizētas un nodrošinātas bērnu un pusaudžu līdzdalības iespējas, kas katrai ANO Konvenciju par bērna tiesībām dalībvalstij ir jānodrošina. Rosinām papildināt noteikumu projektu 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16.07.2024. 23.55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16.07.2024. 23.55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