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pārņem darba tiesiskās attiecības ar šā rīkojuma 2.1. un 2.2. apakšpunktā minēto studiju programmu īstenošanā iesaistīto akadēmijas akadēmisko un vispārējo personālu un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lai  ne tikai pārņem darba tiesiskās attiecības, bet personālam un pedagogiem nodrošina vienlīdzīgus principus darba samaksas, darba slodzes un sociālo garantiju piešķiršanā.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pārņem darba tiesiskās attiecības ar šā rīkojuma 2.1.un 2.2. apakšpunktā minēto studiju programmu īstenošanā iesaistīto akadēmijas akadēmisko un vispārējo personālu un pedagogiem, kā arī nodrošina vienlīdzīgus principus darba samaksas, darba slodzes un sociālo garantiju piešķiršanā;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Vārtukapteine - Salaka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30.12.2022.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30.12.2022.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