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5.tabulas 56. pozīcijā Salacgrīvas novadu uz Limbažu novadu.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"Piekrastes plānojuma indikatori un to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“Piekrastes plānojuma indikatori un to izvērtējums” 1. nodaļā “Stratēģiskie indikatori” ir norādīts, ka palielinājies pašvaldību skaits, kurās ir izstrādāti vietējie piekrastes tematiskie plānojumi, un iepriekšējā starpposma novērtējuma periodā ir apstiprināti 3 tematiskie plānojumi, tostarp Rīgas pilsētai.  Lūdzu izvērtēt Rīgas valstspilsētas priekšlikumu, ka, ja ar šo ir domāts Ūdens teritoriju un krastmalu tematiskais plānojums, kas apstiprināts ar Rīgas domes 15.12.2017. lēmumu Nr. 657, tad jāņem vērā, ka šis tematiskais plānojums aptver visus Rīgas administratīvajā teritorijā ietilpstošos ūdeņus un krastmalas, un tā izstrādes mērķis ir radīt priekšnoteikumus ūdens struktūras integrācijai Rīgas pilsētvidē, kas tālāk izmantojami teritorijas attīstības plānošanas dokumentu izstrādes vajadzībām. Līdz ar to šis tematiskais plānojums tikai daļēji atbilst Valsts ilgtermiņa tematiskā plānojuma Baltijas jūras piekrastes publiskās infrastruktūras attīstībai līdz 2030. gadam mērķim veicināt tieši jūras piekrastes sabalansētu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27.01.2025.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