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17.pantā ietvertā Enerģētikas likuma 58.</w:t>
            </w:r>
            <w:r w:rsidR="00000000" w:rsidRPr="00000000" w:rsidDel="00000000">
              <w:rPr>
                <w:vertAlign w:val="superscript"/>
                <w:rtl w:val="0"/>
              </w:rPr>
              <w:t xml:space="preserve">1</w:t>
            </w:r>
            <w:r w:rsidR="00000000" w:rsidRPr="00000000" w:rsidDel="00000000">
              <w:rPr>
                <w:rtl w:val="0"/>
              </w:rPr>
              <w:t xml:space="preserve"> panta trešā daļa noteic, ka atjaunīgās enerģijas apjoms, kas pārsniedz Latvijas saistības atjaunojamās enerģijas jomā (turpmāk – atjaunīgās enerģijas pārsniegums), ir </w:t>
            </w:r>
            <w:r w:rsidR="00000000" w:rsidRPr="00000000" w:rsidDel="00000000">
              <w:rPr>
                <w:u w:val="single"/>
                <w:rtl w:val="0"/>
              </w:rPr>
              <w:t xml:space="preserve">valsts īpašums</w:t>
            </w:r>
            <w:r w:rsidR="00000000" w:rsidRPr="00000000" w:rsidDel="00000000">
              <w:rPr>
                <w:rtl w:val="0"/>
              </w:rPr>
              <w:t xml:space="preserve">, kura tiesiskais valdītājs ir Klimata un enerģētikas ministrija. Vienlaikus likumprojektā ietvertajā Enerģētikas likuma 58.</w:t>
            </w:r>
            <w:r w:rsidR="00000000" w:rsidRPr="00000000" w:rsidDel="00000000">
              <w:rPr>
                <w:vertAlign w:val="superscript"/>
                <w:rtl w:val="0"/>
              </w:rPr>
              <w:t xml:space="preserve">2</w:t>
            </w:r>
            <w:r w:rsidR="00000000" w:rsidRPr="00000000" w:rsidDel="00000000">
              <w:rPr>
                <w:rtl w:val="0"/>
              </w:rPr>
              <w:t xml:space="preserve"> panta trešajā un ceturtajā daļā paredzēts, ka </w:t>
            </w:r>
            <w:r w:rsidR="00000000" w:rsidRPr="00000000" w:rsidDel="00000000">
              <w:rPr>
                <w:u w:val="single"/>
                <w:rtl w:val="0"/>
              </w:rPr>
              <w:t xml:space="preserve">Ministru kabinets pieņem lēmumu par atjaunīgās enerģijas saistību pārsnieguma darījumu veikšanu</w:t>
            </w:r>
            <w:r w:rsidR="00000000" w:rsidRPr="00000000" w:rsidDel="00000000">
              <w:rPr>
                <w:rtl w:val="0"/>
              </w:rPr>
              <w:t xml:space="preserve"> un ka Ministru kabineta </w:t>
            </w:r>
            <w:r w:rsidR="00000000" w:rsidRPr="00000000" w:rsidDel="00000000">
              <w:rPr>
                <w:u w:val="single"/>
                <w:rtl w:val="0"/>
              </w:rPr>
              <w:t xml:space="preserve">nosaka kārtību</w:t>
            </w:r>
            <w:r w:rsidR="00000000" w:rsidRPr="00000000" w:rsidDel="00000000">
              <w:rPr>
                <w:rtl w:val="0"/>
              </w:rPr>
              <w:t xml:space="preserve">, kādā tiek pieņemts lēmums par dalību Savienības atjaunojamās enerģijas finansēšanas mehānismā un atjaunīgās enerģijas saistību pārsnieguma darījumu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2.punktā (3.un 4.lpp.) sniegts skaidrojums, ka AE (atjaunīgās enerģijas) pārsniegums (</w:t>
            </w:r>
            <w:r w:rsidR="00000000" w:rsidRPr="00000000" w:rsidDel="00000000">
              <w:rPr>
                <w:u w:val="single"/>
                <w:rtl w:val="0"/>
              </w:rPr>
              <w:t xml:space="preserve">AE statistika</w:t>
            </w:r>
            <w:r w:rsidR="00000000" w:rsidRPr="00000000" w:rsidDel="00000000">
              <w:rPr>
                <w:rtl w:val="0"/>
              </w:rPr>
              <w:t xml:space="preserve">) saskaņā ar Direktīvas 2018/2001 8.pantu ir </w:t>
            </w:r>
            <w:r w:rsidR="00000000" w:rsidRPr="00000000" w:rsidDel="00000000">
              <w:rPr>
                <w:u w:val="single"/>
                <w:rtl w:val="0"/>
              </w:rPr>
              <w:t xml:space="preserve">nododams (pārdodams</w:t>
            </w:r>
            <w:r w:rsidR="00000000" w:rsidRPr="00000000" w:rsidDel="00000000">
              <w:rPr>
                <w:rtl w:val="0"/>
              </w:rPr>
              <w:t xml:space="preserve">) citai ES dalībvalstij, kas šo pārsniegumu var izmantot AE saistību izpildei, to iekļaujot savos AE datos (statistikā). Tā kā minētais AE saistību pārsniegums ir nododams (pārdodams) citai ES dalībvalstij, tas nozīmē, ka minētais pārsniegums (AE statistika) pēc būtības ir </w:t>
            </w:r>
            <w:r w:rsidR="00000000" w:rsidRPr="00000000" w:rsidDel="00000000">
              <w:rPr>
                <w:i w:val="1"/>
                <w:u w:val="single"/>
                <w:rtl w:val="0"/>
              </w:rPr>
              <w:t xml:space="preserve">tradable unit</w:t>
            </w:r>
            <w:r w:rsidR="00000000" w:rsidRPr="00000000" w:rsidDel="00000000">
              <w:rPr>
                <w:u w:val="single"/>
                <w:rtl w:val="0"/>
              </w:rPr>
              <w:t xml:space="preserve"> (tirgojama vienība</w:t>
            </w:r>
            <w:r w:rsidR="00000000" w:rsidRPr="00000000" w:rsidDel="00000000">
              <w:rPr>
                <w:rtl w:val="0"/>
              </w:rPr>
              <w:t xml:space="preserve">), un tam ir finansiāla vērtība (cena), kura 2020.gada mērķu izpildei tika noteikta euro par MWh. Ņemot vērā iepriekšminēto, ir saprotams, ka ir arī jānosaka, ka minētais pārsniegums ir </w:t>
            </w:r>
            <w:r w:rsidR="00000000" w:rsidRPr="00000000" w:rsidDel="00000000">
              <w:rPr>
                <w:u w:val="single"/>
                <w:rtl w:val="0"/>
              </w:rPr>
              <w:t xml:space="preserve">valsts īpašums</w:t>
            </w:r>
            <w:r w:rsidR="00000000" w:rsidRPr="00000000" w:rsidDel="00000000">
              <w:rPr>
                <w:rtl w:val="0"/>
              </w:rPr>
              <w:t xml:space="preserve">, par kuru atbildīgā iestāde ir Klimata un enerģētikas ministrija, kas ir atbildīgā ministrija par kopējo Latvijas enerģētikas politiku. Visus darījumus ar AE pārsniegumu (AE statistiku) apstiprinās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841.pantu lietas ir ķermeniskas vai bezķermeniskas un bezķermeniskas lietas ir dažādas personiskas, lietu un saistību tiesības, ciktāl tās ir mantas sastāvdaļas. Atbilstoši Latvijas Republikas Civillikuma komentāriem (autori G.Višņakova, K.Balodis, 1998) terminam "lieta" ir divejāda nozīme atkarībā no tā, vai ir domāta mantiska tiesība vai vizuāli uztverams priekšmets. Plašākā nozīmē šis termins aptver gan ķermenisku, gan bezķermenisku lietu, bet šaurākā nozīmē - tikai ķermenisku lietu. Abas termina "lieta" nozīmes vieno tas, ka </w:t>
            </w:r>
            <w:r w:rsidR="00000000" w:rsidRPr="00000000" w:rsidDel="00000000">
              <w:rPr>
                <w:u w:val="single"/>
                <w:rtl w:val="0"/>
              </w:rPr>
              <w:t xml:space="preserve">jebkurā gadījumā tā ir manta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w:t>
            </w:r>
            <w:r w:rsidR="00000000" w:rsidRPr="00000000" w:rsidDel="00000000">
              <w:rPr>
                <w:u w:val="single"/>
                <w:rtl w:val="0"/>
              </w:rPr>
              <w:t xml:space="preserve">mantas atsavināšanas kārtību noteic</w:t>
            </w:r>
            <w:r w:rsidR="00000000" w:rsidRPr="00000000" w:rsidDel="00000000">
              <w:rPr>
                <w:rtl w:val="0"/>
              </w:rPr>
              <w:t xml:space="preserve"> Publiskas personas mantas atsavināšanas likums (turpmāk -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ietvert paplašinātu skaidrojumu par likumprojektā ietverto regulējumu kontekstā ar Atsavināšanas likumu, proti, vai likumprojektā minētais atjaunīgās enerģijas pārsniegums ir manta un vai tādējādi darījumu veikšanai ar to (pārdošanai) ir piemērojams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 pantu, konkrētāk - Enerģētikas likuma 58.</w:t>
            </w:r>
            <w:r w:rsidR="00000000" w:rsidRPr="00000000" w:rsidDel="00000000">
              <w:rPr>
                <w:vertAlign w:val="superscript"/>
                <w:rtl w:val="0"/>
              </w:rPr>
              <w:t xml:space="preserve">3</w:t>
            </w:r>
            <w:r w:rsidR="00000000" w:rsidRPr="00000000" w:rsidDel="00000000">
              <w:rPr>
                <w:rtl w:val="0"/>
              </w:rPr>
              <w:t xml:space="preserve"> panta astoto daļu. Šajā tiesību normā ir minēts, ka "Latvijā īstenotā atbalsta shēma var tikt nodrošināta, izmantojot atjaunīgās enerģijas pienākumu, kurā enerģijas ražotājiem ir pienākums nodrošināt, ka konkrēta saražotās enerģijas daļa ir atjaunīgā enerģija, kurināmā piegādātājiem vai tirgotājam ir pienākums nodrošināt, ka konkrēta piegādātā kurināmā daļa ir no atjaunojamiem energoresursiem ražots vai iegūts kurināmais, vai enerģijas lietotājam ir pienākums nodrošināt, ka konkrēta patērētās enerģijas daļa ir atjaunīgā enerģija, vai citus veidus, tai skaitā, (bet ne tikai) atbalstu investīcijām, atbrīvojumu no nodokļiem vai nodokļu samazināšanu, nodokļu atmaksu, tiešo cenu atbalstu, tai skaitā regulētos tarifus un mainīgās vai fiksētās piemaksas." Normas konstrukcija ir tāda, ka tā varētu tikt dažādi interpretēta, proti, pienākumu paredzēt atbrīvojumu no nodokļiem vai nodokļu samazināšanu attiecinot gan uz enerģijas ražotāju, gan uz enerģijas patērētāju, gan kā vispārīgu, deklaratīvu normu, ka šāds pasākums var būt daļa no Latvijā īstenotās atbalsta shēmas. Aicinām normu formulēšanā ievērot Ministru kabineta 2009. gada 3. februāra noteikumu Nr. 108 "Normatīvo aktu projektu sagatavošanas noteikumi" 2. punkta prasības, nodrošinot, ka tiesību normas ir lakoniskas, skaidras un nepārprotamas.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konkrēti atbrīvojumi no nodokļiem vai nodokļu atmaksa tiek noteikti speciālajos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Vucēne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17.pantu, kas papildina Enerģētikas likumu ar X</w:t>
            </w:r>
            <w:r w:rsidR="00000000" w:rsidRPr="00000000" w:rsidDel="00000000">
              <w:rPr>
                <w:vertAlign w:val="superscript"/>
                <w:rtl w:val="0"/>
              </w:rPr>
              <w:t xml:space="preserve">1 </w:t>
            </w:r>
            <w:r w:rsidR="00000000" w:rsidRPr="00000000" w:rsidDel="00000000">
              <w:rPr>
                <w:rtl w:val="0"/>
              </w:rPr>
              <w:t xml:space="preserve">nodaļu, attiecībā uz 58.</w:t>
            </w:r>
            <w:r w:rsidR="00000000" w:rsidRPr="00000000" w:rsidDel="00000000">
              <w:rPr>
                <w:vertAlign w:val="superscript"/>
                <w:rtl w:val="0"/>
              </w:rPr>
              <w:t xml:space="preserve">4 </w:t>
            </w:r>
            <w:r w:rsidR="00000000" w:rsidRPr="00000000" w:rsidDel="00000000">
              <w:rPr>
                <w:rtl w:val="0"/>
              </w:rPr>
              <w:t xml:space="preserve">panta piektās daļas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I sadaļas 2.punktā (7.lpp.) precizēt Ministru kabineta noteikumu "Siltumnīcefekta gāzu inventarizācijas sistēmas, prognožu sistēmas un sistēmas ziņošanai par pielāgošanos klimata pārmaiņām izveidošanas un uzturēšanas kārtība" datumu (2022.gada 25.oktobra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