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(070923_Izziņa_21-TA-1164)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trešajā daļā ir paredzēta norma, kurā Tematiskā komiteja var aicināt Ministru kabineta locekli izstrādāt kādu normatīvo regulējumu, kas nepieciešams likumprojektā paredzēto risinājumu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šāda aicinājuma tiesiskais statuss attiecībā pret Valsts pārvaldes iekārtas likumā noteikto (20.panta pirmā daļa), kur attiecīgais Ministru kabineta loceklis ir atbildīgs par noteiktu jomu, un var virzīt normatīvos aktus atbilstoši savai kompetencei, ir neskaidrs.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lai tā atbilstu esošajam normatīvajam regulējuamm par attiecīgo Ministru kabineta locekļu kompetences jomu un to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Buse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 sadaļas 8. punktu ar informāciju, ka mājokļu pieejamības nodrošināšanai nepieciešamo finansējumu 42 900 000 euro apmērā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15.09.2023.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15.09.2023.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