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Jaunuzņēmumu komercdarbības vides pilnveidošanas atbalstāmo pasākumu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Jaunuzņēmumu darbības atbalsta likuma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vertAlign w:val="superscript"/>
                <w:rtl w:val="0"/>
              </w:rPr>
              <w:t xml:space="preserve"> </w:t>
            </w:r>
            <w:r w:rsidR="00000000" w:rsidRPr="00000000" w:rsidDel="00000000">
              <w:rPr>
                <w:rtl w:val="0"/>
              </w:rPr>
              <w:t xml:space="preserve"> panta pirmajā daļā minētā valsts pārvaldes uzdevuma, tai skaitā atbalstāmo pasākumu plānošanai un īstenošanai, Ekonomikas ministrija ar organizāciju, kas atbilst šo noteikumu </w:t>
            </w:r>
            <w:r w:rsidR="00000000" w:rsidRPr="00000000" w:rsidDel="00000000">
              <w:rPr>
                <w:rtl w:val="0"/>
              </w:rPr>
              <w:t xml:space="preserve">5.</w:t>
            </w:r>
            <w:r w:rsidR="00000000" w:rsidRPr="00000000" w:rsidDel="00000000">
              <w:rPr>
                <w:rtl w:val="0"/>
              </w:rPr>
              <w:t xml:space="preserve"> punktā minētajiem kvalifikācijas nosacījumiem (turpmāk – organizācija), slēdz līdzdarbības līgumu ar termiņu uz vienu gadu Valsts pārvaldes iekārtas likumā un šajos noteikumos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4. punkts daļēji dublē vai pat interpretē Jaunuzņēmumu darbības atbalsta likuma (turpmāk - likuma) 3.</w:t>
            </w:r>
            <w:r w:rsidR="00000000" w:rsidRPr="00000000" w:rsidDel="00000000">
              <w:rPr>
                <w:vertAlign w:val="superscript"/>
                <w:rtl w:val="0"/>
              </w:rPr>
              <w:t xml:space="preserve">1</w:t>
            </w:r>
            <w:r w:rsidR="00000000" w:rsidRPr="00000000" w:rsidDel="00000000">
              <w:rPr>
                <w:rtl w:val="0"/>
              </w:rPr>
              <w:t xml:space="preserve"> panta otrajā daļā noteikto līguma mērķi. Attiecīgi lūdzam atbilstoši precizēt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Ekonomikas ministrija organizācijai vai organizācija fiziskām vai juridiskām personām, nodrošinot atbalsta pasākumu izpildi, atbalstu 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projektā ietvertā regulējuma izriet, ka paredzēta iespēja jaunuzņēmumus pārstāvošajai organizācijai atbalstāmos pasākumus īstenot sadarbībā ar juridiskām vai fiziskām personām, kā arī minētajām personām sniegt tālāk finansējumu, tostarp </w:t>
            </w:r>
            <w:r w:rsidR="00000000" w:rsidRPr="00000000" w:rsidDel="00000000">
              <w:rPr>
                <w:i w:val="1"/>
                <w:rtl w:val="0"/>
              </w:rPr>
              <w:t xml:space="preserve">de minimis</w:t>
            </w:r>
            <w:r w:rsidR="00000000" w:rsidRPr="00000000" w:rsidDel="00000000">
              <w:rPr>
                <w:rtl w:val="0"/>
              </w:rPr>
              <w:t xml:space="preserve"> atbalstu. Lūdzam skaidrot šādu fizisku un juridisku personu statusu komercdarbības atbalsta kontekstā (proti, vai tās ir sadarbības partneri), atbalsta sniegšanas mērķi (proti, kādēļ atbalsts tiek piešķirts tālāk), kā arī atkārtoti lūdzam anotācijā pamatot šāda regulējuma nepieciešamību un atbilstību likuma 3.</w:t>
            </w:r>
            <w:r w:rsidR="00000000" w:rsidRPr="00000000" w:rsidDel="00000000">
              <w:rPr>
                <w:vertAlign w:val="superscript"/>
                <w:rtl w:val="0"/>
              </w:rPr>
              <w:t xml:space="preserve">1</w:t>
            </w:r>
            <w:r w:rsidR="00000000" w:rsidRPr="00000000" w:rsidDel="00000000">
              <w:rPr>
                <w:rtl w:val="0"/>
              </w:rPr>
              <w:t xml:space="preserve"> pantam, tostarp likumā paredzētajam pilnvarojumam. Lūdzam arī izvērtēt, vai organizācijai, ar kuru Ekonomikas ministrija slēgs līgumu, būtu kapacitāte īstenot šādu tiesisko regulējumu (proti, piešķirt atbalstu un nodrošināt tā uzraudzību). Ja regulējums atbilst likumā paredzētajam pilnvarojumam, lūdzam izvērtēt, vai noteikumos paredzēts pietiekams tiesiskais regulējums attiecīgajam mehānismam.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Ekonomikas ministrija organizācijai vai organizācija fiziskām vai juridiskām personām, nodrošinot atbalsta pasākumu izpildi, atbalstu 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un 9. punktā paredzēto tiesisko regulējumu par to, ka “organizācija ar fiziskām vai juridiskām personām slēdz līdzdarbības līgumu” piedāvājam precizēt, jo Valsts pārvaldes iekārtas likuma 48. – 53. pants neparedz līdzdarbības līguma slēgšanu starp divām privātpersonām. Tādējādi līdzdarbības līgums var būt tikai starp publisku personu, kuras pārstāvis būs Ekonomikas ministrija un privātpersonu – jaunuzņēmumus pārstāvošo organizāciju. Organizācijas un fizisku vai juridisku personu savstarpējās tiesiskās attiecības nepieciešams veidot ar cita veida regulējumu. Atbilstoši nepieciešams precizēt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Atbalsts tiek piešķirts ar Ekonomikas ministrijas un organizācijas līdzdarbības līguma noslēgšanas datumu, savukārt fiziskām vai juridiskām personām ar līdzdarbības līgumu ar organizāciju, ja attiecināms. Līguma noslēgšanas diena ir uzskatāma par komercdarbības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parasti valsts atbalsta pasākumos tiek pieņemts </w:t>
            </w:r>
            <w:r w:rsidR="00000000" w:rsidRPr="00000000" w:rsidDel="00000000">
              <w:rPr>
                <w:u w:val="single"/>
                <w:rtl w:val="0"/>
              </w:rPr>
              <w:t xml:space="preserve">lēmums</w:t>
            </w:r>
            <w:r w:rsidR="00000000" w:rsidRPr="00000000" w:rsidDel="00000000">
              <w:rPr>
                <w:rtl w:val="0"/>
              </w:rPr>
              <w:t xml:space="preserve"> par projekta iesnieguma apstiprināšanu (administratīvs akts), pēc kā tiek noslēgts līgums par projekta īstenošanu, lūdzam izvērtēt plānotā regulējuma (tostarp arī 11. punkta) tiesiskumu, atbilstību sasniedzamajam mērķim un piemērošanu praksē. Atgādinām, ka Latvijas Republikas Senāta Administratīvo lietu departamenta 2024. gada 15. novembra lēmumā Nr. SKA-839/2024 norādīts, ka valsts atbalsta piešķiršana, pat, ja tā ietvaros tiek vērtēta pretendenta atbilstība privāttiesībām raksturīgiem kritērijiem, ir </w:t>
            </w:r>
            <w:r w:rsidR="00000000" w:rsidRPr="00000000" w:rsidDel="00000000">
              <w:rPr>
                <w:u w:val="single"/>
                <w:rtl w:val="0"/>
              </w:rPr>
              <w:t xml:space="preserve">publiski tiesisks process</w:t>
            </w:r>
            <w:r w:rsidR="00000000" w:rsidRPr="00000000" w:rsidDel="00000000">
              <w:rPr>
                <w:rtl w:val="0"/>
              </w:rPr>
              <w:t xml:space="preserve">. Lai pārbaudītu, vai valsts pārvaldes uzdevums – valsts atbalsta piešķiršana – tiek pildīts tiesiski, persona lēmumu par pieteikuma noraidīšanu var pārsūdzēt administratīvajā tiesā. Gadījumā ja pieteicēja lēmumu pa pieteikuma noraidīšanu nevarētu pārsūdzēt administratīvajā tiesā, tad šādam lēmumam zustu efektīva tiesiskuma kontrole. Proti, tādā gadījumā nebūtu iespējams pārliecināties, vai valsts atbalsta piešķiršanas process norisinās tiesiski. Valsts pārvaldes iekārtas likuma 43.panta trešā daļa noteic: uzraudzībai pār pārvaldes uzdevuma izpildi jābūt pilnīgai un efektīvai. Tādējādi nevar pastāvēt situācija, kad nav iespējams pārbaudīt, vai valsts pārvaldes uzdevums – valsts atbalsta piešķiršana – tiek pildīts tiesiski. Attiecīgi aicinām izvērtēt projektā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Citastarp norādām, ka ar līdzdarbības līgumu var pilnvarot veikt pārvaldes uzdevumu, kurš </w:t>
            </w:r>
            <w:r w:rsidR="00000000" w:rsidRPr="00000000" w:rsidDel="00000000">
              <w:rPr>
                <w:u w:val="single"/>
                <w:rtl w:val="0"/>
              </w:rPr>
              <w:t xml:space="preserve">neietver pārvaldes lēmuma pieņemšanu vai sagatavošanu</w:t>
            </w:r>
            <w:r w:rsidR="00000000" w:rsidRPr="00000000" w:rsidDel="00000000">
              <w:rPr>
                <w:rtl w:val="0"/>
              </w:rPr>
              <w:t xml:space="preserve"> (sk. Valsts pārvaldes iekārtas likuma 49. panta pirmo daļu). Ja paredzēts, ka organizācijas var tālāk piešķirt atbalstu fiziskām un juridiskām personām, izvēlētais mehānisms varētu neatbilst Valsts pārvaldes iekārtas likuma regulējumam. Lūdzam kopumā arī, ņemot vērā komercdarbības atbalsta iespējamību, izvērtēt attiecīgo mehānismu (proti, tieši līdzdarbības līguma slēgšanu), ņemot vērā, ka līdzdarbības līgumu slēdz, lai pilnvarotu veikt pārvaldes uzdevumu sabiedriskā labuma (nekomerciālos) nolūkos (sk. Valsts pārvaldes iekārtas likuma 49. panta pirmās daļas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jaunuzņēmumus pārstāvošās organizācijas (turpmāk – organizācija) kvalifikācijas nosacījumus līguma slēgšanai;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noteikumu projekta 1.2. un 1.3. apakšpunktu, precīzi pārrakstot likuma 3.</w:t>
            </w:r>
            <w:r w:rsidR="00000000" w:rsidRPr="00000000" w:rsidDel="00000000">
              <w:rPr>
                <w:vertAlign w:val="superscript"/>
                <w:rtl w:val="0"/>
              </w:rPr>
              <w:t xml:space="preserve">1 </w:t>
            </w:r>
            <w:r w:rsidR="00000000" w:rsidRPr="00000000" w:rsidDel="00000000">
              <w:rPr>
                <w:rtl w:val="0"/>
              </w:rPr>
              <w:t xml:space="preserve">panta trešajā paredzēto pilnvarojumu Ministru kabinetam ("jaunuzņēmumus </w:t>
            </w:r>
            <w:r w:rsidR="00000000" w:rsidRPr="00000000" w:rsidDel="00000000">
              <w:rPr>
                <w:u w:val="single"/>
                <w:rtl w:val="0"/>
              </w:rPr>
              <w:t xml:space="preserve">pārstāvošo organizāciju</w:t>
            </w:r>
            <w:r w:rsidR="00000000" w:rsidRPr="00000000" w:rsidDel="00000000">
              <w:rPr>
                <w:rtl w:val="0"/>
              </w:rPr>
              <w:t xml:space="preserve"> kvalifikācijas nosacījumus līgumu slēgšanai; jaunuzņēmumus </w:t>
            </w:r>
            <w:r w:rsidR="00000000" w:rsidRPr="00000000" w:rsidDel="00000000">
              <w:rPr>
                <w:u w:val="single"/>
                <w:rtl w:val="0"/>
              </w:rPr>
              <w:t xml:space="preserve">pārstāvošajām organizācijām</w:t>
            </w:r>
            <w:r w:rsidR="00000000" w:rsidRPr="00000000" w:rsidDel="00000000">
              <w:rPr>
                <w:rtl w:val="0"/>
              </w:rPr>
              <w:t xml:space="preserve"> piemērojamā komercdarbības atbalsta piešķiršanas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konsultāciju un investīciju sesiju organizēšana, nodrošinot vismaz 60 ieinteresēto personu dalību, tai skaitā vismaz 40 jaunuzņēmumu dalību;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atbalstāmie pasākumi ir paredzēti jaunuzņēmumu komercdarbības vides pilnveidošanai, aicinām sniegt skaidrojumu, kādēļ paredzēts, ka ieinteresētās personas, kuras piedalās konsultāciju un investīciju sesijās, var būt ne tikai jaunuzņēmumi. Ja nepieciešams, aicinām precizēt projektu. Aicinām arī izvērtēt citus 3. punktā minētos pasākumus un, ja nepieciešams,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mērķgrupu apmācību ciklu organizēšana, nodrošinot vismaz četrus mērķgrupu apmācību ciklus iespējkapitāla un eņģeļu investoriem, institucionālajiem investoriem, uzņēmējiem un publiskajam sektoram, ar kopumā ne mazāk kā 200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neizmantot projektā sarunvalodā lietotus vārdus un izteicienus (piemēram, "uzņēmējs"), tā vietā atbilstoši juridiskās tehnikas prasībām projekta tekstā lūdzam lietot skaidrus un nepārprotamus izteicienus un juridiski korektu valodu.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kā atbalstu, kas nekvalificējas kā komercdarbības atbalsts. Atbalsts nekvalificējas kā komercdarbības atbalsts, ja atbalsts paredzēts darbībām, kas nav saistītas ar saimnieciskās darbības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nedublēt Komercdarbības atbalsta kontroles likumā paredzēto tiesisko regulējumu, kas noteic, kas ir komercdarbības atbalsts. Vēršam uzmanību, ka nepieciešamības gadījumā izvirzāmas konkrētas prasības, kas nodrošina, ka sniegtais atbalsts nekvalificējas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izstrādātu de minimis atbalsta uzskaites piešķiršanas kārtību, ja atbalsts tiek sniegts saskaņā ar šo noteikumu </w:t>
            </w:r>
            <w:r w:rsidR="00000000" w:rsidRPr="00000000" w:rsidDel="00000000">
              <w:rPr>
                <w:rtl w:val="0"/>
              </w:rPr>
              <w:t xml:space="preserve">8.1. </w:t>
            </w:r>
            <w:r w:rsidR="00000000" w:rsidRPr="00000000" w:rsidDel="00000000">
              <w:rPr>
                <w:rtl w:val="0"/>
              </w:rPr>
              <w:t xml:space="preserve">apakšpunktu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w:t>
            </w:r>
            <w:r w:rsidR="00000000" w:rsidRPr="00000000" w:rsidDel="00000000">
              <w:rPr>
                <w:i w:val="1"/>
                <w:rtl w:val="0"/>
              </w:rPr>
              <w:t xml:space="preserve">de minimis</w:t>
            </w:r>
            <w:r w:rsidR="00000000" w:rsidRPr="00000000" w:rsidDel="00000000">
              <w:rPr>
                <w:rtl w:val="0"/>
              </w:rPr>
              <w:t xml:space="preserve"> atbalsta </w:t>
            </w:r>
            <w:r w:rsidR="00000000" w:rsidRPr="00000000" w:rsidDel="00000000">
              <w:rPr>
                <w:u w:val="single"/>
                <w:rtl w:val="0"/>
              </w:rPr>
              <w:t xml:space="preserve">uzskaites piešķiršanas</w:t>
            </w:r>
            <w:r w:rsidR="00000000" w:rsidRPr="00000000" w:rsidDel="00000000">
              <w:rPr>
                <w:rtl w:val="0"/>
              </w:rPr>
              <w:t xml:space="preserve"> kārtība. Ja nepieciešams, aicinām precizēt. Vienlaikus norādām, ka, ja nepieciešams noteikt citām privātpersonām saistošas prasības, tās būtu ietveramas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projektā ietverts pilnīgs un pietiekams tiesiskais regulējums. Piemēram, anotācijā norādīts, ka "</w:t>
            </w:r>
            <w:r w:rsidR="00000000" w:rsidRPr="00000000" w:rsidDel="00000000">
              <w:rPr>
                <w:i w:val="1"/>
                <w:rtl w:val="0"/>
              </w:rPr>
              <w:t xml:space="preserve">[k]ad lēmums par līdzdarbības līguma slēgšanu tiek pieņemts, Ekonomikas ministrija slēdz līgumu ar organizāciju, kas konkursā ieguvusi augstāko novērtējumu atbilstoši kritērijiem</w:t>
            </w:r>
            <w:r w:rsidR="00000000" w:rsidRPr="00000000" w:rsidDel="00000000">
              <w:rPr>
                <w:rtl w:val="0"/>
              </w:rPr>
              <w:t xml:space="preserve">". Vienlaikus norādām, ka pastāv iespēja, ka vairākas organizācijas var izpildīt projekta 5. punktā paredzēto, proti, vairākām organizācijām var būt vienāds un reizē augstākais punktu skaits. Attiecīgi aicinām paredzēt, kam šādā gadījumā tiks dota priekšroka.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projekta 4. punktā noteikto, aicinām skaidrot projektā ietvertā regulējuma un Ministru kabineta 2014. gada 17. jūnija noteikumu Nr. 317 "Kārtība, kādā tiešās pārvaldes iestādes slēdz un publisko līdzdarbības līgumus, kā arī piešķir valsts budžeta finansējumu privātpersonām valsts pārvaldes uzdevumu veikšanai un uzrauga piešķirtā finansējuma izlietojumu" piemērošanas mijiedarbību.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30.12.2025.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25-TA-1566</w:t>
    </w:r>
    <w:r>
      <w:br/>
    </w:r>
    <w:r w:rsidR="00000000" w:rsidRPr="00000000" w:rsidDel="00000000">
      <w:rPr>
        <w:rtl w:val="0"/>
      </w:rPr>
      <w:t xml:space="preserve">Izdrukāts 30.12.2025.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Atzinumi_25-TA-1566.docx</dc:title>
</cp:coreProperties>
</file>

<file path=docProps/custom.xml><?xml version="1.0" encoding="utf-8"?>
<Properties xmlns="http://schemas.openxmlformats.org/officeDocument/2006/custom-properties" xmlns:vt="http://schemas.openxmlformats.org/officeDocument/2006/docPropsVTypes"/>
</file>