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24-TA-2008: Instrukcijas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īsteno atbalsta pasākumus nozaru vajadzībās balstītai darba devēju darbinieku profesionālajai pilnveidei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nosaka kārtību, kādā tiek sagatavoti un saskaņoti atbalsta pasākumi darba devējiem darbinieku profesionālajai pilnveidei un papildu izglītošanai.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instrukcijā ietvertās normas ietekmēs spēkā esošo Eiropas Savienības (turpmāk - ES) fondu pasākumu tiesisko regulējumu (proti, Ministru kabineta noteikumus par ES fondu specifisko atbalsta mērķu īstenošanu), kas paredz atbalstu darba devēju mācību īstenošanai, un vai instrukcijas izpratnē ministriju atbalsta pasākumi ir arī Ministru kabineta noteikumi par ES fondu specifisko atbalsta mērķu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mācības – darba devēja vajadzībās balstītas organizētās mācības formālās vai neformālās izglītības, kā arī citas mācīšanās aktivitātes ietvaros klātienes, tiešsaistes vai hibrīdformā, kas komersanta darbiniekiem nodrošina iespēju iegūt vai pilnveidot nepieciešamās prasmes vai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apakšpunkts paredz atbalstu komersantiem, 2.3. apakšpunkts – plašākam darba devēju lokam, ne tikai komersantiem. 3. punktā parādās arī pašnodarbināta persona. Nepieciešams salāgot nosacījumus, vienlaikus pārskatot darba devēju loku, piemēram, vai zemnieku saimniecības, kas nav komersanti, var saņemt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produktivitāte – darba devēja darbinieku darba algas pieaugums.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produktivitāti atspoguļo reālais algas pieaugums, lūgums papildināt ar "reālais" darbinieku algas pieaugums. Proti, tāds, ka neņem vērā inflācijas ietekmi. Vienlaikus, lai noteiktu ietekmi, ir svarīgi salīdzināt pasākuma dalībniekus ar līdzīgā situācijā esošām personām, kas atbalstu nav saņēmušas (kontroles un atbalsta grupas).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produktivitāte – darba devēja reālais darbinieku darba algas pieaugums.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Ministrijas nodrošina, ka atbalsta pasākumos var piedalīties darba devējs, kas ir Latvijas Republikas Uzņēmumu reģistrā reģistrēts komersants, kas atbilst sīkā (mikro), mazā un vidējā komersanta statusam saskaņā ar Eiropas Komisijas 2014. gada 17. jūnija Regulas (ES) Nr. 651/2014, ar ko noteiktas atbalsta kategorijas atzīst par saderīgām ar iekšējo tirgu, piemērojot Līguma 107. un 108. pantu (turpmāk – Komisijas regula Nr. 651/2014) 2. panta 2. punktu vai lielā komersanta statusam saskaņā ar Regulas Nr. 651/2014 2. panta 24. punktā noteikto definīciju, un pašnodarbināta persona un paredz nodrošināt darbiniekam, kas ir pašnodarbināta persona vai darba devēja nodarbinātā persona, kura ir sasniegusi 18 gadu vecumu un kuriem ir noslēgts darba līgums ar darba devēju, prasmju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skaidrot veidu, kādā ministrijām 3.punktā minētais ir jānodrošina (piemēram, izstrādājot normatīvo regulējumu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Ministrijām, izstrādājot atbalsta pasākumus saistībā ar prasmju pilnveidi, izvērtēt un iekļaut noteikumu projektā  turpmāk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vārdiem "noteikumu projektā" norādot vai nu noteikumu projekta jomu, vai sniegt vispārīgu atsauci uz normatīvā regulējuma izstrādi (esošajā redakcijā var saprast, ka tiek minēts konkrēts noteikumu projekts, taču iepriekš šajā instrukcijā citos punktos tas nav atrunāts).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šīs instrukcijas 10.punktā u.c. punktos tiek lietots jēdziens “normatīvais regulējums”, attiecīgi lūdzam saskaņot visā instrukcijā izmantoto jēdzienu lietojumu.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Darbinieku produktivitātes rādītāju uzraudzību, lai novērtētu saņemtā atbalsta pasākuma ietvaros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domāti vairāki produktivitātes rādītāji, jo šīs instrukcijas 2.5.apakšpunktā minēts tikai viens produktivitātes rādītājs – proti, darba devēja darbinieku darba algas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Ministrija atbalsta pasākumus var īstenot, organizējot atbalsta pasākumu ietvaros finansējuma saņēmēju atlasi vai ievērojot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vārdus "noteikto kārtību", norādot, kur šī kārtība tiek noteikta (piemēram, “ievērojot kārtību, kas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Informāciju par atbalsta pasākumā iekļautajām nozarēm vai mācību jomām nozaru ministrijas iesniedz šīs instrukcijas</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minētajai komisijai, kas  izvērtē iepriekšējā kalendārā gadā sniegtās mācības, un nepieciešamības gadījumā pieņem lēmumu par mācību jomu aizliegšanu vai papildināšanu, ja neatbilst tautsaimniecības nozaru attīstības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minēts konkrēts posms, par kuru dati tiek izvērtēti, tad aicinām arī noteikt termiņu, līdz kuram nozaru ministrijām minētie dati ir jāiesniedz komisijai (piemēram – līdz kārtējā gada beigām), lai nodrošinātu to, ka iesniegtie dati ir savstarpēji salīdzināmi un visaptveroši.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izstrādāt atbalsta pasākuma normatīvo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 instrukcija attieksies tikai uz no jauna izstrādājamu normatīvo regulējumu (nevis, piemēram, jau apstiprinātiem Ministru kabineta noteikumiem par Eiropas Savienības fondu specifisko atbalsta mērķu īstenošanu vai Atveseļošanas fonda investīciju īstenošanu un īstenošanā esošajām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Atbalsta pasākuma ietvaros ministrija šīs instrukcijas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minētā normatīvā regulējuma ietvaros iekļauj šādus pienākums: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šīs instrukcijas 7.punktā ietvertas prasības, kas ministrijai jāievēro normatīvā regulējuma izstrādē, līdz ar to nav viennozīmīgi skaidrs, ar ko instrukcijas 16.punkts atšķiras no 7.punkta. Lai nodrošinātu skaidru tiesību akta projektā ietverto normu uztveramību, aicinām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norādot kam minētie pienākumi jāveic.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pārliecināties, ka projekta izdevumi ir nepieciešami projekta rezultātu sasniegšanai, un šī saistība ir skaidri saprotama un pierādāma, ievērojot saimnieciskuma, lietderības un efektivitātes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ir projekts. Tāpat lūdzam pārskatīt vārda ministrija lietojumu. Piemēram, instrukcijas  3. un 7. punktā vārds ministrijas ir lietots daudzskaitlī,  bet instrukcijas 8., 9., 10. un 11. punktā  -  vienskaitlī. Attiecīgi, lietojot vienskaitlī, nav saprotams,  kurai ministrijai norādītais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finansējama saņēmējs – sīkais (mikro), mazais un vidējais komersants,  biedrības un nodibinājums, pētniecības un zināšanu izplatīšanas organizācijas,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vārda "finansējama" vietā norādot vārdu "finansējuma" un vārda "nodibinājums" vietā norādot vārdu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un vidējais komersants,  biedrības un nodibinājumi, pētniecības un zināšanu izplatīšanas organizācijas,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finansējama saņēmējs – sīkais (mikro), mazais un vidējais komersants,  biedrības un nodibinājums, pētniecības un zināšanu izplatīšanas organizācijas,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dokumenta projektā ir lietoti divi termini – finansējuma saņēmējs un darba devējs, lūgums izvērtēt, vai uztveramībai nav jālieto viens termins.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aizsardzības un reģionālās attīstības ministrija, sniedzot finansējumu atbalsta pasākumu īstenošanai, pašvaldībām, ir atbildīga par šajā instrukcijā minēto nosacījumu izpildi un paredz to iekšējā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2024.gada 1.jūliju Vides aizsardzības un reģionālās attīstības ministrija pārdēvēta par Viedās administrācijas un reģionālās attīstības ministriju, lūdzam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ministrija, sniedzot finansējumu atbalsta pasākumu īstenošanai pašvaldībām, ir atbildīga par šajā instrukcijā minēto nosacījumu izpildi un paredz to iekšējā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aizsardzības un reģionālās attīstības ministrija, sniedzot finansējumu atbalsta pasākumu īstenošanai, pašvaldībām, ir atbildīga par šajā instrukcijā minēto nosacījumu izpildi un paredz to iekšējā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redakciju, lai būtu izprotams, kam sniedz finansējumu atbalsta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pirms atbalsta sniegšanas ir veikts novērtējums par darbiniekam profesionālās pilnveides un papildus izglītošanas nepieciešamajām aktivitātēm vai tas ir izstrādājis kārtību, kurā noteikts, kā darbinieks var piedalīties profesionālās pilnveides mācībās un kvalifikācijas celšanas pasākumos, kā arī  tajā noteikts kā darba devējs pilnveido  darbinieku prasmes un, atbilstoši izstrādātajai kārtībai, nodrošina atbalsta pasākumu pieejamību darbiniekam;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tā ir darba devēja izstrādāta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darba devēja darbinieks ir apmeklējis mācības vismaz 75%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noteikt konkrētu apmeklējuma procentu, ņemot vērā, ka darbiniekam var būt attaisnojoši iemesli, kāpēc nevar apmeklēt mācības (piemēram, slimība).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darba devēja darbinieks ir nokārtojis attiecīgos mācību noslēgumā paredzētos pārbaudījumus,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tekstu “ja nepieciešams” aizstāt ar norādi – “ja attiecināms”, vai norādīt –  “ja to paredz mācību programma”, lai ir izprotams, kas nosaka šo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ministrs var izveidot komisiju, kuras sastāvā iekļauj Ekonomikas ministrijas, Labklājības ministrijas, Izglītības un zinātnes ministrijas, Latvijas Darba devēju konfederācijas, Latvijas Tirdzniecības un rūpniecības kameras, Latvijas Brīvo arodbiedrību savienības un, ja nepieciešams citu kompetento institūciju vai biedrību un nodibinājumu pārstāvjus un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12. punktā norādīts, ka var izveidot komisiju, savukārt anotācijā ir daudzskaitlī minētas komisijas. Lūgums skaidrot, vai ir plānota vairāku komisiju izveide. Tāpat lūdzam pārliecināties, ka šāda komisija jau nav izveidota.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veikt regulāru pieaugušo izglītības rezultātu un rezultatīvo rādītāju sasniegšanas analīzi un ietekmes novērtējumu īstenošanu nacionālā un starptautiskā līmenī politikas plānošanas dokumentos noteikto mērķu sasniegšanai un iesniedz tos Padomē;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vārda "iesniedz" vietā norādot vārdu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veikt regulāru pieaugušo izglītības rezultātu un rezultatīvo rādītāju sasniegšanas analīzi un ietekmes novērtējumu īstenošanu nacionālā un starptautiskā līmenī politikas plānošanas dokumentos noteikto mērķu sasniegšanai un iesniegt tos Padomē;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nodrošināt demarkāciju ar citiem valsts un ārvalstu finanšu atbalsta instrumentiem un novērš dubultā finansējuma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vārda "novērš" vietā norādot vārdu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nodrošināt demarkāciju ar citiem valsts un ārvalstu finanšu atbalsta instrumentiem un novērst dubultā finansējuma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10.09.2024.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10.09.2024.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Atzinumi_24-TA-2008.docx</dc:title>
</cp:coreProperties>
</file>

<file path=docProps/custom.xml><?xml version="1.0" encoding="utf-8"?>
<Properties xmlns="http://schemas.openxmlformats.org/officeDocument/2006/custom-properties" xmlns:vt="http://schemas.openxmlformats.org/officeDocument/2006/docPropsVTypes"/>
</file>