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Integrētās riska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Atbilstoši sistēmās iekļautajiem datiem  sistēma saņem informāciju no šādām valsts informācijas sistēmām un šādā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rūpīgāk izvērtēt un attiecīgi precizēt projekta 19.9. apakšpunktā noteikto "administratīvā pārkāpuma lietas pamatdatu" tvērumu. Proti, nav saprotams, kādi tieši dati ir "administratīvā pārkāpuma lietas pamatdati".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 (Jūlija Pogiļdjakova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Auditācijas pierakstus var nodot kompetentajām iestādēm (pirmstiesas izmeklēšanas iestādēm, operatīvās darbības subjektiem, valsts drošības iestādēm) pieprasījumā norādītajā apjomā, lai nodrošinātu noziedzīgu nodarījumu izmeklēšanu, kā arī disciplinārlietas vai administratīvā pārkāpuma lietas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auditācijas pierakstus var nodot kompetentajām iestādēm arī disciplinārlietas vai administratīvā pārkāpuma lietas ietvaros. Atkārtoti lūdzam izvērtēt, vai šāds regulējums projektā ir nepieciešams un pieļaujams. No  izziņā norādītā izvērtējuma nav konstatējams, ka šāda regulējuma neesības gadījumā nebūtu tiesiski iespējams iegūt auditācijas pierakstus kriminālprocesā vai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pilnvarojuma apjoms ir vērtējams visas tiesību sistēmas kontekstā. Ministru kabineta noteikumi vispārīgi nevar ierobežot (vai vispār regulēt) informācijas ieguvi, piemēram,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 (Jūlija Pogiļdjakova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Sistēmā iekļauj, atspoguļo un veic citas apstrādes darbības ar aktuālo un vēsturisko informāciju par fiziskām personām, juridiskām personām, adresēm, transportlīdzekļiem, sakaru līdzekļiem, kontiem, dokumentiem, notikumiem un lietām saistībā ar konstatētiem un iespējamiem likumpārkāpumiem valsts ieņēmumu un muitas lietu jomā, kas var sekmēt kriminālizlūkošanas, operatīvās darbības un kriminālprocesa uzdevumu veikšanu, kā arī muitas kontroles veikšanu, tai skaitā izpildot starptautiskās saistības riska pārvaldības un muitas kontroles jomā. Apstrādājamo datu kategorijas noteiktas Nodokļu un muitas policijas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2.punkta pēdējo teikumu, ņemot vērā, ka tas ir deklaratīva rakstura un būtu ietverams anotācijā. Papildus norādāms, ka atbilstoši likumdevēja noteiktajam personas tiesību uz personas datu aizsardzību ierobežojuma apjomam, tai skaitā noteiktajām apstrādājamajām personas datu kategorijām, Ministru kabineta līmenī atbilstoši deleģējumam lemjams jau par konkrētiem apstrādājamajiem personas datu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25-TA-709</w:t>
    </w:r>
    <w:r>
      <w:br/>
    </w:r>
    <w:r w:rsidR="00000000" w:rsidRPr="00000000" w:rsidDel="00000000">
      <w:rPr>
        <w:rtl w:val="0"/>
      </w:rPr>
      <w:t xml:space="preserve">Izdrukāts 25.06.2025.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25-TA-709</w:t>
    </w:r>
    <w:r>
      <w:br/>
    </w:r>
    <w:r w:rsidR="00000000" w:rsidRPr="00000000" w:rsidDel="00000000">
      <w:rPr>
        <w:rtl w:val="0"/>
      </w:rPr>
      <w:t xml:space="preserve">Izdrukāts 25.06.2025.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Atzinumi_25-TA-709.docx</dc:title>
</cp:coreProperties>
</file>

<file path=docProps/custom.xml><?xml version="1.0" encoding="utf-8"?>
<Properties xmlns="http://schemas.openxmlformats.org/officeDocument/2006/custom-properties" xmlns:vt="http://schemas.openxmlformats.org/officeDocument/2006/docPropsVTypes"/>
</file>