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anotāciju par noteikumu 28.4. grozījumu ietekmi uz atbalsta saņēmējiem, pievēršot uzmanību arī tam, ka atbilstoši Elektroenerģijas tirgus likuma 2. panta 54. punktā noteiktajai definīcijai, 50 kilovatu jaudas slieksnis atbalsta saņēmējiem ļauj pretendēt arī uz universālā neto norēķinu sistēmas pakalpojuma izmantošanas tiesībām, kā arī nodrošina lietotājiem labvēlīgu regulējumu atbilstoši ETL 9.1.prim panta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07.09.2026. 18.52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07.09.2026. 18.52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Atzinumi_26-TA-1613.docx</dc:title>
</cp:coreProperties>
</file>

<file path=docProps/custom.xml><?xml version="1.0" encoding="utf-8"?>
<Properties xmlns="http://schemas.openxmlformats.org/officeDocument/2006/custom-properties" xmlns:vt="http://schemas.openxmlformats.org/officeDocument/2006/docPropsVTypes"/>
</file>