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 maija noteikumos Nr. 296 "Noteikumi par rūpniecisko zveju teritoriālajos ūdeņos un ekonomiskās zonas ūdeņos"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un 5.4. apakšsadaļas 1. tabulā norādīt, vai projekta 23. punktā ietvertais noteikumu 38. punkts izriet no Eiropas Savienības tiesību akta (piemēram, vai pārejas noteikums izriet no regulas pārejas noteikumu piemērošanas). Alternatīvi lūdzam pamatot normas nepieciešamību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skaidrojums par noteikumu 8.17. apakšpunktā veiktajām izmaiņām neatbilst projekta redakcijai. Proti, anotācijā skaidrots, ka: "Lai atteiktos no prasībām zvejniekiem uz kuģa glabāt visus dokumentus, ņemot vērā dokumentu pieejamību elektroniskajos reģistros, kā atī ar zveju saistīto dokumentu pieejamību informācijas sistēmā, noteikumu projekta 8. punkts (noteikumu Nr. 296 8.17. apakšpunkts) </w:t>
            </w:r>
            <w:r w:rsidR="00000000" w:rsidRPr="00000000" w:rsidDel="00000000">
              <w:rPr>
                <w:u w:val="single"/>
                <w:rtl w:val="0"/>
              </w:rPr>
              <w:t xml:space="preserve">neparedz zvejnieka pienākumu uz kuģa turēt visus prasītos dokumentus, ja tiem ir digitāla piekļuve</w:t>
            </w:r>
            <w:r w:rsidR="00000000" w:rsidRPr="00000000" w:rsidDel="00000000">
              <w:rPr>
                <w:rtl w:val="0"/>
              </w:rPr>
              <w:t xml:space="preserve">." Savukārt noteikumu 8.17. apakšpunkts paredz, ka, "ja kuģis zvejo vai izkrauj nozveju ārpus šo noteikumu 1.1. apakšpunktā minētajiem ūdeņiem, glabāt uz kuģa papildu pilnvarojumu (īpašu atļauju) un zvejas atļauju (licenci), kā arī citu dokumentāciju, ko paredz Eiropas Savienības tieši piemērojamie normatīvie akti". Normā nav minēts, ka attiecīgus dokumentus neglabā tad, ja tie ir digitāli pieejami, bet gan tad, ja to neparedz Eiropas Savienības tieši piemērojamie normatīvie akti (turklāt attiecībā uz normā minētajiem dokumentiem - papildu pilnvarojumu (īpašu atļauju) un zvejas atļauju (licenci) - šāda atkāpe nav paredzēta). Attiecīgi lūdzam precizēt anotācijā norādīto problemātiku un risinājumu, sniedzot izmaiņām atbilstošu pamatojumu, vai arī,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apakšsadaļas 1. tabulā skaidrot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(konsolidētās versijas) 9. panta 4. punktā paredzētās rīcības brīvības izmantošanu vai neizmantošanu un sniegt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tabulā norādīto informāciju par minētās regulas 41. panta ieviešanu projekta 21. punktā, un to precizēt, vai sniegt izvērstāku skaidrojumu par abu normu saistību.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reņģu zveja ar traļiem – no 12. maija līdz 10. jūnijam. Zemkopības ministrija var mainīt šī aizlieguma sākuma datumu konkrētajā gadā, nemainot kopējo aizlieguma ilgumu, par to paziņojot Igaunijas Republikas atbildīgajām iestādēm. Ja tiek mainīts kopējais aizlieguma ilgums, atbilstoši 1997. gada 6. februārī parakstītajam Latvijas Republikas valdības un Igaunijas Republikas valdības nolīgumam par savstarpējām attiecībām zivsaimniecības jomā ir nepieciešama vienošanās par abām valstīm kopīga zvejas aizlieguma perioda noteikšanu Rīgas līcī konkrētajā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noteikumu 17.5. apakšpunkta grozījumu nepieciešamību, jo pašreiz skaidrojums anotācijā nav sniegts. Vienlaikus lūdzam skaidrot, kas ir normā minētā vienošanās un kas to slēdz, kā arī vai šī vienošanās tiek slēgta normā minētā starpvaldību nolīguma izpildes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visām projekta 10. punktā paredzētajām izmaiņām, tostarp pamatot, kādēļ svītrots noteikumu 12. punkta otrais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anotācijā ietverto skaidrojumu par noteikumu 17.4. apakšpunkta izmaiņām. Pirmkārt, lūdzam precizēt teikumu: "Noteikumu Nr. 296 17.4. apakšpunktā ir noteikts, ka zveja ar zivju un plekstu vadiem Rīgas līča piekrastes ūdeņos ir aizliegta." Proti, noteikumu 17.4. apakšpunkts pašreiz spēkā esošajā redakcijā paredz, ka aizliegta ir zveja ar zivju un plekstu vadiem Rīgas jūras līča piekrastes ūdeņos – visu gadu, </w:t>
            </w:r>
            <w:r w:rsidR="00000000" w:rsidRPr="00000000" w:rsidDel="00000000">
              <w:rPr>
                <w:u w:val="single"/>
                <w:rtl w:val="0"/>
              </w:rPr>
              <w:t xml:space="preserve">izņemot zveju ar ēsmas zivtiņu vadu</w:t>
            </w:r>
            <w:r w:rsidR="00000000" w:rsidRPr="00000000" w:rsidDel="00000000">
              <w:rPr>
                <w:rtl w:val="0"/>
              </w:rPr>
              <w:t xml:space="preserve">." Papildus aicinām skaidrot, kādēļ svītroti vārdi "izņemot zveju ar ēsmas zivtiņu vadu".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zvejas kuģa uzstādīt novērošanas sistēmu atbilstoši Eiropas Savienības tieši piemērojamos normatīvajos aktos noteiktajām prasībām un šādu ierīču tehniskai specifikācijai, kas ļauj automātiski noteikt kuģa atrašanās vietu, identificēt to un, ievērojot Komisijas 2025. gada 17. oktobra Īstenošanas regulas (ES) </w:t>
            </w:r>
            <w:r w:rsidR="00000000" w:rsidRPr="00000000" w:rsidDel="00000000">
              <w:rPr>
                <w:rtl w:val="0"/>
              </w:rPr>
              <w:t xml:space="preserve">2025/2196</w:t>
            </w:r>
            <w:r w:rsidR="00000000" w:rsidRPr="00000000" w:rsidDel="00000000">
              <w:rPr>
                <w:rtl w:val="0"/>
              </w:rPr>
              <w:t xml:space="preserve">,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regula 2025/2196) 23. punkta nosacījumus, nodrošināt kuģa pozīcijas datu pārraidīšanu uz Valsts vides dienesta Zvejas pārraudzības centru;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"normatīvajiem aktiem", atsaucoties uz normatīvajiem aktiem </w:t>
            </w:r>
            <w:r w:rsidR="00000000" w:rsidRPr="00000000" w:rsidDel="00000000">
              <w:rPr>
                <w:u w:val="single"/>
                <w:rtl w:val="0"/>
              </w:rPr>
              <w:t xml:space="preserve">noteiktā jomā</w:t>
            </w:r>
            <w:r w:rsidR="00000000" w:rsidRPr="00000000" w:rsidDel="00000000">
              <w:rPr>
                <w:rtl w:val="0"/>
              </w:rPr>
              <w:t xml:space="preserve"> atbilstoši Ministru kabineta 2009. gada 3. februāra noteikumu Nr. 108 "Normatīvo aktu projektu sagatavošanas noteikumi" 137. punktam. Līdzīgi aicinām precizēt arī citas projekta vienības. Papildus aicinām precizēt atsauci uz regulas vienību (proti, 23. pants, nevis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zvejnieki, zvejojot Rīgas līcī, piekrastē un pārējos Latvijas Republikas teritoriālajos ūdeņos, papildus šo noteikumu </w:t>
            </w:r>
            <w:r w:rsidR="00000000" w:rsidRPr="00000000" w:rsidDel="00000000">
              <w:rPr>
                <w:rtl w:val="0"/>
              </w:rPr>
              <w:t xml:space="preserve">19.</w:t>
            </w:r>
            <w:r w:rsidR="00000000" w:rsidRPr="00000000" w:rsidDel="00000000">
              <w:rPr>
                <w:rtl w:val="0"/>
              </w:rPr>
              <w:t xml:space="preserve"> punktā minētajos Eiropas Savienības normatīvajos aktos noteiktajam ievēro, ka ir aizliegts pārsniegt šo noteikumu </w:t>
            </w:r>
            <w:r w:rsidR="00000000" w:rsidRPr="00000000" w:rsidDel="00000000">
              <w:rPr>
                <w:rtl w:val="0"/>
              </w:rPr>
              <w:t xml:space="preserve">22.</w:t>
            </w:r>
            <w:r w:rsidR="00000000" w:rsidRPr="00000000" w:rsidDel="00000000">
              <w:rPr>
                <w:rtl w:val="0"/>
              </w:rPr>
              <w:t xml:space="preserve"> punktā minēto mazizmēra zivju piezvejas apjomu, kā arī pieņemt, apstrādāt, transportēt, glabāt un pārdot šādu sugu zivis, ja svaigas un neapstrādātas tās ir mazākas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Eiropas Savienības normatīvajiem aktiem, norādot uz Eiropas Savienības tieši piemērojamiem normatīvajiem aktiem, vienlaikus precizēt normatīvo aktu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mencu piezveja piekrastē citu zivju sugu komerciālajā zvejā ir atļauta tikai tad, ja atbilstošajos ūdeņos (Baltijas jūras vai Rīgas līča piekrastes ūdeņos) ir noteikts mencu piezvejas limits.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konkretizēt vai anotācijā skaidrot, kas un kā nosaka mencu piezvejas limitu ("ir noteikts mencu piezvejas limits").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28.2.10. veikt ar zvejas darbībām saistīto datu un riska analīzi un, pamatojoties uz šīs analīzes rezultātiem, ja nepieciešams, pieprasīt, lai attiecīgais zvejnieks Latvijas Jūras akadēmijā vai cita kompetentā iestādē vai uzņēmumā veic kuģa dzinēja jaudas fizisko verifikāciju, kas minēta Regulas </w:t>
            </w:r>
            <w:r w:rsidR="00000000" w:rsidRPr="00000000" w:rsidDel="00000000">
              <w:rPr>
                <w:rtl w:val="0"/>
              </w:rPr>
              <w:t xml:space="preserve">Nr. 1224/2009</w:t>
            </w:r>
            <w:r w:rsidR="00000000" w:rsidRPr="00000000" w:rsidDel="00000000">
              <w:rPr>
                <w:rtl w:val="0"/>
              </w:rPr>
              <w:t xml:space="preserve"> 41.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projektu,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28.2.13. informēt Valsts policiju par gadījumiem, kad inspekcijas laikā ir iemesls uzskatīt, ka zvejas kuģis ir iesaistījies zvejā, kurā izmanto piespiedu darbu.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anotācijā izvērstāku skaidrojumu par normas nepieciešamību, ņemot vērā, ka Eiropas Savienības regulas ir tieši piemērojamas. Proti, atgādinām, ka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Ja norma ietverta, lai noteiktu attiecīgo iestādi, kam sniedzama informācija v.tml., aicinām sniegt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26-TA-352</w:t>
    </w:r>
    <w:r>
      <w:br/>
    </w:r>
    <w:r w:rsidR="00000000" w:rsidRPr="00000000" w:rsidDel="00000000">
      <w:rPr>
        <w:rtl w:val="0"/>
      </w:rPr>
      <w:t xml:space="preserve">Izdrukāts 11.06.2026.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26-TA-352</w:t>
    </w:r>
    <w:r>
      <w:br/>
    </w:r>
    <w:r w:rsidR="00000000" w:rsidRPr="00000000" w:rsidDel="00000000">
      <w:rPr>
        <w:rtl w:val="0"/>
      </w:rPr>
      <w:t xml:space="preserve">Izdrukāts 11.06.2026.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Atzinumi_26-TA-352.docx</dc:title>
</cp:coreProperties>
</file>

<file path=docProps/custom.xml><?xml version="1.0" encoding="utf-8"?>
<Properties xmlns="http://schemas.openxmlformats.org/officeDocument/2006/custom-properties" xmlns:vt="http://schemas.openxmlformats.org/officeDocument/2006/docPropsVTypes"/>
</file>