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atļauju uzņemties papildu saistības un īstenot pārrobežu patogēnu uzraudzības projektu 2024. – 2026. gadā, piesaistot finansējumu no ārvalstu finanšu instrumenta – tiešās dotācijas CP-g-22-04.01.”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23-TA-1925_Inform_zin_EU4P_parrob_patog_uzraudz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3.4. apakšpunkta pēdējās rindkopas pēdējo teikumu, kur, pēc precizējumu veikšanas, šķietami iztrūkst daļa teksta vai kāds vārds, kas uzlabotu tā uztveramību. Tāpat, vienlaicīgi ierosinām precizēt arī informatīvā ziņojuma 4. punkta uzskaitīto, nepieciešamo Ministru kabineta lēmumu, 4. punktu, ņemot vērā protokollēmumā veiktos precizējumus, līdzīgi kā tas darīts 5. punkta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30.08.2023.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30.08.2023.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Atzinumi_23-TA-1925.docx</dc:title>
</cp:coreProperties>
</file>

<file path=docProps/custom.xml><?xml version="1.0" encoding="utf-8"?>
<Properties xmlns="http://schemas.openxmlformats.org/officeDocument/2006/custom-properties" xmlns:vt="http://schemas.openxmlformats.org/officeDocument/2006/docPropsVTypes"/>
</file>