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5.1.1.2.i. investīcijas "Atbalsta instruments pētniecībai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Projektu iesnieguma vērtēšanu aģentūra veic ne vēlāk kā divu kalendāro mēnešu laikā pēc projektu iesniegumu iesniegšanas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precizētā noteikumu projekta 18.punkta redakcija ir pretrunā augstāka juridiskā spēka normatīvajiem aktiem, konkrēti - Administratīvā procesa likuma (APL) 64.pantā noteiktajam, ka iestāde pieņem lēmumu par administratīvā akta izdošanu viena mēneša laikā no iesnieguma saņemšanas dienas, ja </w:t>
            </w:r>
            <w:r w:rsidR="00000000" w:rsidRPr="00000000" w:rsidDel="00000000">
              <w:rPr>
                <w:u w:val="single"/>
                <w:rtl w:val="0"/>
              </w:rPr>
              <w:t xml:space="preserve">likumā</w:t>
            </w:r>
            <w:r w:rsidR="00000000" w:rsidRPr="00000000" w:rsidDel="00000000">
              <w:rPr>
                <w:rtl w:val="0"/>
              </w:rPr>
              <w:t xml:space="preserve"> nav noteikts cits termiņš vai </w:t>
            </w:r>
            <w:r w:rsidR="00000000" w:rsidRPr="00000000" w:rsidDel="00000000">
              <w:rPr>
                <w:u w:val="single"/>
                <w:rtl w:val="0"/>
              </w:rPr>
              <w:t xml:space="preserve">citā normatīvajā aktā — īsāks termiņš</w:t>
            </w:r>
            <w:r w:rsidR="00000000" w:rsidRPr="00000000" w:rsidDel="00000000">
              <w:rPr>
                <w:rtl w:val="0"/>
              </w:rPr>
              <w:t xml:space="preserve"> administratīvā akta izdošanai. Likumā par budžetu un finanšu vadību, tai skaitā tā 19.</w:t>
            </w:r>
            <w:r w:rsidR="00000000" w:rsidRPr="00000000" w:rsidDel="00000000">
              <w:rPr>
                <w:vertAlign w:val="superscript"/>
                <w:rtl w:val="0"/>
              </w:rPr>
              <w:t xml:space="preserve">3</w:t>
            </w:r>
            <w:r w:rsidR="00000000" w:rsidRPr="00000000" w:rsidDel="00000000">
              <w:rPr>
                <w:rtl w:val="0"/>
              </w:rPr>
              <w:t xml:space="preserve"> pantā, cits termiņš lēmuma pieņemšanai nav noteikts, savukārt noteikumu projektā pieļaujams noteikt tikai īsāku termiņu, nekā APL.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noteikumu projekta 18.punktu.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46.1.8. sadarbības partnera īpašumā esošo ēku un zemi, instrumentu, iekārtu un to aprīkojuma, patentu un licenču amortizācijas izmaksas, ciktāl tos izmanto pētniecības projektā, tai skaitā finanšu nomā iegādāto iekārtu amortizācijas izmaksas atbilstoši Komisijas regulas Nr. 651/2014 25.panta 3.punkta “c” apakšpunktā noteiktajam. Izmaksas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komercdarbības atbalsts no valsts, pašvaldības, Eiropas Savienības vai citiem publiskajiem līdzekļiem šī vai cita atbalsta pasākuma vai projekta ietvaros. Patentu un licenču amortizācijas izmaksas var būt attiecināmas tikai tad, ja tās iegādātas pēc pētniecības projekta iesnieguma iesniegšanas finansējuma saņēmējam. Ja laiks, kamēr telpas, instrumentus, iekārtas, patentus un licences izmanto pētniecībā, neaptver visu attiecīgo telpu, instrumentu, iekārtu, patentu un licenču lietderīgās lietošanas laiku, par attiecināmajām izmaksām uzskata tikai tādas amortizācijas izmaksas, kas atbilst pētniecības projekta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vārdus "īpašumā esošo ēku un zemi", jo no normas pašreizējās redakcijas nav skaidri saprotams, vai saskaņā ar šo punktu attiecināmas ir piemēram ēkas pārbūves izmaksas, nekustamā īpašuma nodoklis u.tml., vai tikai īpašuma amortizācijas izmaksas. Turklāt arī šādā gadījumā nav skaidrs, kā tiks rēķinātas, piemēram, </w:t>
            </w:r>
            <w:r w:rsidR="00000000" w:rsidRPr="00000000" w:rsidDel="00000000">
              <w:rPr>
                <w:u w:val="single"/>
                <w:rtl w:val="0"/>
              </w:rPr>
              <w:t xml:space="preserve">zemes</w:t>
            </w:r>
            <w:r w:rsidR="00000000" w:rsidRPr="00000000" w:rsidDel="00000000">
              <w:rPr>
                <w:rtl w:val="0"/>
              </w:rPr>
              <w:t xml:space="preserve"> amortizācijas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normas otro teikumu "Izmaksas par ēkām iespējams attiecināt no konkrētas daļas." Norādām, ka nav skaidrs, par kādu daļu ir runa.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78.1.3. īstenot apstiprināto projektu kā stratēģiski svarīgu projektu, ne retāk kā reizi sešos mēnešos ievietojot aktuālo informāciju par projekta īstenošanas gaitu savā tīmekļvietnē, nodrošinot informācijas un publicitātes pasākumus saskaņā ar Regulas Nr. 2021/241 34. pantu un Eiropas Komisijas un Latvijas Republikas Atveseļošanas fonda finansēšanas nolīguma 10. pantu un “Eiropas Savienības fondu 2021.–2027. gada plānošanas perioda un Atveseļošanas fonda komunikācijas un dizaina vadlīniju” 3. nodaļu “Atveseļošanas fonda prasības”, nodrošinot ne mazāk kā vienu informatīvu pasākumu;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precizētajā noteikumu projektā  ietverto atsauci uz privātpersonām nesaistošu dokumentu -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informāciju par vadlīniju piemērošanu lūdzam norādīt noteikumu projekta anotācijā. Tāpat vēršam uzmanību, ka pienākumu ievērot vadlīnijas publicitātes pasākumu īstenošanā iespējas iekļaut līgumos, ko slēdz aģentūra ar finansējuma saņēmēju vai finansējuma saņēmējs ar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pievienotās vērtības nodoklis, vienlaikus pievienotās vērtības nodoklis, kas atgūstams no valsts budžeta priekšnodokļa veidā, muitas nodokļi, nodevas un soda maksājumi, ko finansējuma saņēmējs un sadarbības partneris sedz no privātā līdzfinansējuma, nodrošinot visām šajā apakšpunktā minētajām izmaksām atsevišķu projekta izmaksu, t.sk. pievienotās vērtības nodokļa izmaksu uzskaiti un nodali;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56.3.apakšpunktu, jo frāze "vienlaikus pievienotās vērtības nodoklis, kas atgūstams no valsts budžeta priekšnodokļa veidā" nav skaidra, proti, nav saprotams, vai šādas izmaksas var vai nevar finansēt no Atveseļošanas fonda līdzekļiem. Ierosinām vārdu "vienlaikus" aizstāt ar vārdu "izņemot" un attiecīgi redakcionāli precizēt turpmāko normas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Atveseļošanas fonda finansējuma ieviešanas progresu un datu pieejamību un to apstrādi nodrošina atbilstoši noteikumos Nr. 621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nepieciešamību noteikumu projekta tekstu precizēt atbilstoši Ministru kabineta 2009. gada 3. februāra noteikumu Nr. 108 "Normatīvo aktu projektu sagatavošanas noteikumi" prasībām, it īpaši uz nepieciešamību noteikumu projektu veidot pēc iespējas lakonisku un pārskatāmu un tiesību normas rakstīt loģiskā secībā. Šobrīd noteikumu projektā dažādu institūtu tiesiskais regulējums iekļauts nekonsekventi, pamīšus ar citām tiesību normām, kas noved pie regulējuma sadrumstalotības, dublēšanās un pretrunīgām normām. Lūdzam arī izvairīties no pārlieku detalizēta un kazuistiska regulējuma, kas papildus citiem riskiem (piemēram, tiesvedības riskiem) parasti rada nepieciešamību neskaidrību novēršanai nepamatoti bieži grozīt spēkā esošo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27.09.2023.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27.09.2023.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Atzinumi_22-TA-3145.docx</dc:title>
</cp:coreProperties>
</file>

<file path=docProps/custom.xml><?xml version="1.0" encoding="utf-8"?>
<Properties xmlns="http://schemas.openxmlformats.org/officeDocument/2006/custom-properties" xmlns:vt="http://schemas.openxmlformats.org/officeDocument/2006/docPropsVTypes"/>
</file>