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Ministru kabineta 2022. gada 5. jūlija noteikumu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(turpmāk - MK noteikumi) 39.6. apakšpunktu, uzskaitot izslēgšanas kritērijus, kuri nevar būt attiecināmi uz komersantu atbalsta piešķiršanas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noteikumu projektā un tā sākotnējās ietekmes (ex-ante) novērtējuma ziņojumā (turpmāk – anotācija) nav norādīts, no kāda informācijas avota tiks saņemta minētā informācija, kā arī nav norādīts informācijas saņemšanas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ziņas par personu izdarītajiem administratīvajiem pārkāpumiem vai noziedzīgiem nodarījumiem tiek uzkrātas valsts informācijas sistēmā “Sodu reģistrs”,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atbilstoši Sodu reģistra likuma 21.panta pirmās daļas regulējumam Sodu reģistrā iekļautās ziņas sniedz izziņas veidā vai tiešsaistes datu pārraides režīmā, ja tiek identificēts ziņu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Iekšlietu ministrijas Informācijas centrs kā valsts informācijas sistēmas “Sodu reģistrs” pārzinis ir atbildīgs par personas datu apstrādes atbilstību Datu regulai. Iekšlietu ministrijas Informācijas centram attiecīgajā gadījumā jābūt precīzi zināmam datu apjomam, kuru būs jāsniedz (vai kuru jādara pieejamu), lai pārbaudītu, vai komersants atbilst noteikumu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projekta 3.punktā ietverto informāciju paredzēts iegūt no valsts informācijas sistēmas “Sodu reģistrs”, tad tiesiskās noteiktības nodrošināšanai, kā arī, lai Iekšlietu ministrijas Informācijas centrs ievērotu datu apstrādes minimizēšanas principu, sniedzot ziņas par administratīvajiem pārkāpumiem vai noziedzīgiem nodarījumiem, precizēt projektu vai anotāciju, norādot projekta 3.punktā ietvertās informācijas avotu un tās saņemšanas veidu, kā arī attiecīgo nozari regulējošo likumu un Krimināllikuma pantus, par kuros paredzētajiem administratīvajiem pārkāpumiem un noziedzīgajiem nodarījumiem komersants nedrīkst būt sodīts.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39.6.2.2. personas nodarbināšana bez rakstveidā noslēgta darba līguma, nodokļu normatīvajos aktos noteiktajā termiņā neiesniedzot par šo personu informatīvo deklarāciju par darbiniekiem, kas iesniedzama par personām, kuras uzsāk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tiesiskās noteiktības principa izriet prasība, ka tiesību normai, kas nosaka personas pamattiesību ierobežojumus, jābūt skaidrai un pēc iespējas precīzai </w:t>
            </w:r>
            <w:r w:rsidR="00000000" w:rsidRPr="00000000" w:rsidDel="00000000">
              <w:rPr>
                <w:i w:val="1"/>
                <w:rtl w:val="0"/>
              </w:rPr>
              <w:t xml:space="preserve">(sk. Satversmes tiesas 2010.gada 20.decembra sprieduma lietā Nr. 2010-44-01 11.punktu)</w:t>
            </w:r>
            <w:r w:rsidR="00000000" w:rsidRPr="00000000" w:rsidDel="00000000">
              <w:rPr>
                <w:rtl w:val="0"/>
              </w:rPr>
              <w:t xml:space="preserve">. Tiesību normas izdevēja pienākums ir rūpēties par to, lai tiesību norma tiktu formulēta tik nepārprotami, ka to varētu pareizi interpretēt un piemērot, bet indivīds varētu apzināties tās piemērošanas tiesiskās sekas </w:t>
            </w:r>
            <w:r w:rsidR="00000000" w:rsidRPr="00000000" w:rsidDel="00000000">
              <w:rPr>
                <w:i w:val="1"/>
                <w:rtl w:val="0"/>
              </w:rPr>
              <w:t xml:space="preserve">(sk. Satversmes tiesas 2010.gada 19.jūnija sprieduma lietā Nr. 2010-02-01 9.4.2.punktu un 2011.gada 11.maija sprieduma lietā Nr. 2010-55-0106 13.1.punktu).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projekta 3.punktā ietvertajā Ministru kabineta 2022. gada 5. jūlija noteikumu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39.6.2.2.apakšpunktā ir ietverti divi dažādi administratīvie pārkāpumi (Darba likuma 158. pants un likuma "Par nodokļiem un nodevām" 142. panta otrā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precizēt projekta 3.punktā ietverto Ministru kabineta 2022. gada 5. jūlija noteikumu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39.6.2.2.apakšpunktu, nodalot attiecīgos pārkāpumus divās atsevišķās normās.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06.02.2023.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06.02.2023.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Atzinumi_22-TA-3389.docx</dc:title>
</cp:coreProperties>
</file>

<file path=docProps/custom.xml><?xml version="1.0" encoding="utf-8"?>
<Properties xmlns="http://schemas.openxmlformats.org/officeDocument/2006/custom-properties" xmlns:vt="http://schemas.openxmlformats.org/officeDocument/2006/docPropsVTypes"/>
</file>