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24-TA-1532: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2.1.1. specifiskā atbalsta mērķa “Energoefektivitātes veicināšana un siltumnīcefekta gāzu emisiju samazināšana”  2.1.1.6. pasākuma “Pašvaldību ēku energoefektivitātes paaugstināšana”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2.1.1. specifiskā atbalsta mērķa “Energoefektivitātes veicināšana un siltumnīcefekta gāzu emisiju samazināšana”  2.1.1.6. pasākuma “Pašvaldību ēku energoefektivitātes paaugstināšana” otrās projektu iesniegumu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Viedās administrācijas un reģionālās attīstības ministrijas ierosinātie grozījumi Eiropas Savienības Kohēzijas politikas programmā 2021.-2027.gadam, kas paredz iekļaut jaunu iznākuma rādītāju, kas ir tiešā veidā attiecināms uz 2.1.1.6.pasākuma "Pašvaldību ēku energoefektivitātes paaugstināšana" 2.kārtas īstenošanu, vēl nav apstiprināti nacionālā līmenī un secīgi Eiropas Komisijā, lūdzam papildināt protokollēmuma projektu ar jaunu punktu piedāvātajā redakcijā, kā arī izsekojamībai izvērstāku informāciju iekļaut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ministrijai informēt Ministru kabinetu par priekšlikumiem rīcībai gadījumā, ja netiek saņemts pozitīvs Eiropas Komisijas lēmums par  grozījumiem Eiropas Savienības Kohēzijas politikas programmā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(Irma Bondare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iesniedzējam ir īpašuma tiesības uz nekustamo īpašumu, tai skaitā zemi un infrastruktūru, kurā tiks veiktas projektā paredzētās darbības (minētās tiesības nostiprinātas zemesgrāmatā ne vēlāk kā līdz pirmā maksājuma pieprasījuma iesniegšanai sadarbības iestādē), izņemot, ja atjaunīgos energoresursus izmantojošu elektroenerģiju ražojošu un/vai to saražotās enerģijas akumulējošās iekārtu uzstādāmā teritorija (zemes vienība) nav projekta iesniedzēja īpašumā, tad projekta iesniedzējs apliecina, ka projekta dzīves ciklā tam būs spēkā esošs nomas līgums vai līgums par apbūves tiesību uz zemes vienību, kurā veiktas darbības projekta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viena no Eiropas Savienības fondu prasībām ir, ja Ministru kabineta noteikumi par specifisko atbalsta mērķi ir attiecināmi uz infrastruktūru, tad finansējuma saņēmēja tiesībām uz konkrēto objektu vai īpašumu, kurā plānots veikt ieguldījumus (īpašumā, ilgtermiņa nomā vai nodibinātas apbūves tiesības, bezatlīdzības lietošanā, valdījumā, turējumā u.c.), jābūt nostiprinātām Zemesgrāmatā, kas faktiski izriet no Civillikuma 994.panta regulējuma. </w:t>
            </w:r>
            <w:r w:rsidR="00000000" w:rsidRPr="00000000" w:rsidDel="00000000">
              <w:rPr>
                <w:u w:val="single"/>
                <w:rtl w:val="0"/>
              </w:rPr>
              <w:t xml:space="preserve">Gadījumā, ja minētajam nosacījumam saskaņā ar nacionālo regulējumu ir izņēmums, tad minētais attiecīgi aprakstāms Ministru kabineta noteikumu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 punkts paredz izņēmumu attiecībā uz minētā nosacījuma izpildi, proti, noteikts, ka </w:t>
            </w:r>
            <w:r w:rsidR="00000000" w:rsidRPr="00000000" w:rsidDel="00000000">
              <w:rPr>
                <w:i w:val="1"/>
                <w:rtl w:val="0"/>
              </w:rPr>
              <w:t xml:space="preserve">ja atjaunīgos energoresursus izmantojošu elektroenerģiju ražojošu un/vai to saražotās enerģijas akumulējošās iekārtu uzstādāmā teritorija (zemes vienība) nav projekta iesniedzēja īpašumā, tad projekta iesniedzējs apliecina, ka projekta dzīves ciklā tam būs spēkā esošs nomas līgums vai līgums par apbūves tiesību uz zemes vienību, kurā veiktas darbības projekta ietvaros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24. punktā noteikts, ka</w:t>
            </w:r>
            <w:r w:rsidR="00000000" w:rsidRPr="00000000" w:rsidDel="00000000">
              <w:rPr>
                <w:i w:val="1"/>
                <w:rtl w:val="0"/>
              </w:rPr>
              <w:t xml:space="preserve"> ja projektā nav slēdzams būvdarbu līgums darbību īstenošanai brīvostas teritorijā, projekta iesniedzējs apliecina, ka projekta dzīves ciklā tam būs spēkā esošs nomas līgums vai līgums par apbūves tiesību uz zemes vienību, kurā veiktas darbības projekta ietvaros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minētās normas ar prasību, ka arī attiecīgās tiesības, t.i., nomas līgums vai līgums par apbūves tiesību uz zemes vienību, tiks nostiprinātas Zemesgrāmatā. Vai arī lūdzam papildināt anotāciju ar iemesliem, kāpēc attiecībā uz minēto tiek noteikts izņēmums, un īpašumtiesības nevarētu nostiprināt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projekta 23. un 24. punktu ar norādi, kādai iestādei minētājas tiesību normās noteiktais apliecinājums ir jāiesniedz. Papildus lūdzam skaidrot, vai tas būs kā projekta iesnieguma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Eiropas Parlamenta un Padomes 2021. gada 14.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65. panta 1. punkta "c" apakšpunktam dalībvalsts atmaksā iemaksas, kas no fondiem saņemtas darbībai, tostarp investīcijas infrastruktūrā vai produktīvas investīcijas, ja piecu gadu laikā pēc galīgā maksājuma saņēmējam vai attiecīgā gadījumā laikposmā, kas paredzēts valsts atbalsta noteikumos, saistībā ar minēto darbību notiek būtiskas izmaiņas, kas ietekmē darbības veidu, mērķus vai īstenošanas nosacījumus, tādējādi traucējot tās sākotnējo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projekta iesniedzējam tiesības uz minēto īpašumu ir jābūt visā projekta īstenošanas laikā un vismaz piecus gadus pēc projekta īstenošanas pabeigšanas.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Atlases kārtas ietvaros līdz 2027. gada 31. decembrim sasniedzamais iznākuma rādītājs –  uzstādītā atjaunīgos energoresursus izmantojošo tehnoloģiju enerģijas papildu ražošanas jauda. Iznākuma rādītāja vērtība tiek sasniegta, ja atlases kārtas projektu ietvaros veikti ieguldījumi, nodrošinot papildu uzstādīto atjaunīgos energoresursus izmantojošo enerģijas avotu papildu ražošanas jaudu ar kopējo vērtību vismaz 2 MW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noteikt garāku termiņu noteikumu projekta 4.punktā noteiktā rādītāja sasniegšanai (līdz 2029.gada 31.decembrim), ņemot vērā ES fondu 2021-2027 investīciju īstenošanas attiecināmības termiņu (2029.gada 31.decembris), kā arī potenciāli mazinot administratīvo slogu termiņa kavējuma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Eiropas Savienības kohēzijas politikas programmai 2021.-2027.gadam iznākuma rādītājiem ir noteiktas sasniedzamās vērtības 2024.gadam un 2029.gadam (atbilstoši Eiropas Parlamenta un Padomes 2021.gada 24.jūnija regulai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nosacījumiem - turpmāk Vispārējā regula).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(Irma Bondare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Šo noteikumu </w:t>
            </w:r>
            <w:r w:rsidR="00000000" w:rsidRPr="00000000" w:rsidDel="00000000">
              <w:rPr>
                <w:rtl w:val="0"/>
              </w:rPr>
              <w:t xml:space="preserve">4.</w:t>
            </w:r>
            <w:r w:rsidR="00000000" w:rsidRPr="00000000" w:rsidDel="00000000">
              <w:rPr>
                <w:rtl w:val="0"/>
              </w:rPr>
              <w:t xml:space="preserve">  punktā minēto rādītāju uzskata par sasniegtu noslēguma maksājuma veikšanas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atlases kārtā ir paredzēta vairāku projektu ieviešana, lai nodrošinātu tiesību normas skaidrību, aicinām precizēt 5.punkta nosacījumu attiecinot to uz projekta līmeni - t.i., ka 4. punktā minēto rādītāju projektā uzskata par sasniegtu noslēguma maksājuma veikšanas dienā.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sabiedrisko ūdenssaimniecības pakalpojumu sniedz kapitālsabiedrība, tā ar pašvaldību ir noslēgusi pakalpojuma līgumu. Pakalpojuma līgumā norāda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Viennozīmīgai tiesību normas izpratnei lūdzam noteikumu projekta 15., 16. un 17.punkta ievaddaļā papildināt aiz vārdiem "pakalpojumu sniedz" ar vārdiem "finansējuma saņēmējs, kas 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iesniegumā  iekļauj šādas atbalstāmās darbības, kas ietver investīcijas infrastruktūras izveidei, pārbūvei vai atjaunošanai, kā arī tās funkcionalitātes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situācijas, ka atbalstāmo darbību ietvaros tiek iekļautas tādas darbības, kas nav vērstas uz projekta mērķa sasniegšanu, piemēram, 28.4.apakšpunktā norādītās atbalstāmās darbības ietvaros, rosinām iekļaut papildinājumu, ka projekta iesniegumā iekļauj tikai tādas darbības, kas nodrošina projekta mērķa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iesniegumā  iekļauj šādas atbalstāmās darbības, kas ietver investīcijas infrastruktūras izveidei, pārbūvei vai atjaunošanai, kā arī tās funkcionalitātes nodrošināšanai,  projekta mērķa sasniegšanai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Šakena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sabiedrisko ūdenssaimniecības pakalpojumu sniegšanā iesaistīto tehnoloģisko iekārtu un procesu energoefektivitātes uzlabošana;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projekta iesniedzējam būtu skaidra un vienota izpratne par to, kādas darbības ir atbalstāmas zem "tehnoloģisko iekārtu un procesu energoefektivitātes uzlabošana" un izvairītos, ka zem šīm darbībām tiek iekļautas tādas iekārtas un procesi, kas nevecina projekta mērķa sasniegšanu, rosinām precīzākai izpratnei papildināt ar paskaidrojošo palīgteikumu "ja šāda darbība paredzēta energoauditā".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ūdenssaimniecības pakalpojumu sniegšanā iesaistīto tehnoloģisko iekārtu un procesu energoefektivitātes uzlabošana, ja šāda darbība paredzēta energoauditā.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Šakena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30.7. ar sabiedrisko ūdenssaimniecības pakalpojumu sniegšanā iesaistīto tehnoloģisko iekārtu un procesu energoefektivitātes uzlabošanu saistītie ēku un iekārtu pārbūves darbi, nepārsniedzot 15 procentus no šo noteikumu </w:t>
            </w:r>
            <w:r w:rsidR="00000000" w:rsidRPr="00000000" w:rsidDel="00000000">
              <w:rPr>
                <w:rtl w:val="0"/>
              </w:rPr>
              <w:t xml:space="preserve">28.3.</w:t>
            </w:r>
            <w:r w:rsidR="00000000" w:rsidRPr="00000000" w:rsidDel="00000000">
              <w:rPr>
                <w:rtl w:val="0"/>
              </w:rPr>
              <w:t xml:space="preserve"> apakšpunktā minēto izmaksu kopsummas;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norādīto atsauci uz 28.3.apakšpunktu, jo 28.3.apakšpunkts nav par izmaksām, bet atbalstāmo darbību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ūdenssaimniecības pakalpojumu sniegšanā iesaistīto tehnoloģisko iekārtu un procesu energoefektivitātes uzlabošana.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radušās pēc šo noteikumu </w:t>
            </w:r>
            <w:r w:rsidR="00000000" w:rsidRPr="00000000" w:rsidDel="00000000">
              <w:rPr>
                <w:rtl w:val="0"/>
              </w:rPr>
              <w:t xml:space="preserve">33.</w:t>
            </w:r>
            <w:r w:rsidR="00000000" w:rsidRPr="00000000" w:rsidDel="00000000">
              <w:rPr>
                <w:rtl w:val="0"/>
              </w:rPr>
              <w:t xml:space="preserve"> punktā noteiktā termiņa – projekta iesniegumā neiekļauj un finansējumu nepiešķir pabeigtām darbībām, izņemot šo noteikumu </w:t>
            </w:r>
            <w:r w:rsidR="00000000" w:rsidRPr="00000000" w:rsidDel="00000000">
              <w:rPr>
                <w:rtl w:val="0"/>
              </w:rPr>
              <w:t xml:space="preserve">30.1.</w:t>
            </w:r>
            <w:r w:rsidR="00000000" w:rsidRPr="00000000" w:rsidDel="00000000">
              <w:rPr>
                <w:rtl w:val="0"/>
              </w:rPr>
              <w:t xml:space="preserve"> apakšpunktā minētās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Vispārīgā regula 63. p. 6.p.attiecībā uz darbību pabeigtību paredz ierobežojumus tikai iesniegšanas brīdī, lūdzam izvērtēt iespējamību neierobežot iesniedzējus pabeigt projektu pēc projekta iesniegšanas, pirms atbalsta lēmuma pieņemšanas. Ierobežojuma atcelšana neradīs mākslīgus apstākļus projektu īstenošanā (piespiedu pabeigšanas vilcināšanu) un, iespējams, radīs pozitīvu ietekmi n+3 (vienkārši, ātri realizējami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Šakena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uzkrāj datus par šo noteikumu </w:t>
            </w:r>
            <w:r w:rsidR="00000000" w:rsidRPr="00000000" w:rsidDel="00000000">
              <w:rPr>
                <w:rtl w:val="0"/>
              </w:rPr>
              <w:t xml:space="preserve">4.</w:t>
            </w:r>
            <w:r w:rsidR="00000000" w:rsidRPr="00000000" w:rsidDel="00000000">
              <w:rPr>
                <w:rtl w:val="0"/>
              </w:rPr>
              <w:t xml:space="preserve"> punktā minētā rādītāja vērtībām un sniedz šo informāciju sadarbības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kādi dati jāuzkrāj, jo pie noslēguma maksājuma pieprasījuma būs norādīts, kādas jaudas iekārta ir uzstādīta un tās jauda nemainās. Attiecīgi datus var uzkrāt par to, cik AER iekārta gada laikā saražo, cik ir patērēts.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ir nepieciešams norādīt laika periodu,  kurā ir jāziņo dati (piemēram, pēcuzraudzības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Sadarbības iestāde, ja tai ir pieejami valsts budžeta līdzekļi, izvērtējot plānotā avansa apmēru, tā pamatojumu, pamatojoties uz finansējuma saņēmēja rakstisku avansa pieprasījumu, var piešķirt finansējuma saņēmējam avansu pēc civiltiesiskā līguma vai vienošanās par projekta īstenošanu noslēgšanas. Finansējuma saņēmējs avansa pieprasījumu sagatavo, un sadarbības iestāde apstiprina, ņemot vērā nosacījumu, ka plānotā avansa apmērs, tā pamatojums atbilst spējai to izlietot sešu mēnešu laikā. Finansējuma saņēmējam avansu var piešķirt līdz 50 procentiem no projektam piešķirtā Eiropas Reģionālā attīstības fonda finansējuma, ievērojot, ka avansu var izmaksāt vairākos maksājumos un avansa un starpposma maksājumu kopsumma nepārsniedz 90 procentus no projektam piešķirtā Eiropas Reģionālā attīstības fonda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37.punktu nosakot, ka plānotā avansa apmērs, tā pamatojums atbilst spējai to izlietot sešu mēnešu laikā </w:t>
            </w:r>
            <w:r w:rsidR="00000000" w:rsidRPr="00000000" w:rsidDel="00000000">
              <w:rPr>
                <w:u w:val="single"/>
                <w:rtl w:val="0"/>
              </w:rPr>
              <w:t xml:space="preserve">saimnieciskā gada ietvaros,</w:t>
            </w:r>
            <w:r w:rsidR="00000000" w:rsidRPr="00000000" w:rsidDel="00000000">
              <w:rPr>
                <w:rtl w:val="0"/>
              </w:rPr>
              <w:t xml:space="preserve"> ņemot vērā, ka noteikumu projekta 14.punktā kā projekta iesniedzējs paredzēta pašvaldība vai tās izveidota iestāde vai kapitālsabiedrība.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(Irma Bondare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investīciju jomas pārstāvošu biedrību, nodibinājumu, nevalstisko organizāciju  iesaisti noteikumu projekta izstrādē.  Vēršam uzmanību uz Ministru Prezidenta 2021.gada 7.septembra rezolūcijā Nr. 2021-1.1.1./50-50 noteikto: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(Irma Bondare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“Tiesību akta projekta ietekmējamās sabiedrības grupas, ietekme uz tautsaimniecības attīstību un administratīvo slogu”  ar pēc iespējas izmērāmiem faktiski sagaidāmiem rezultātiem/rādītājiem, kas skaidri demonstrē plānoto investīciju ietekmi uz tautsaimniecību. Skaidrojam, ka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(Irma Bondare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2.1.1.6.pasākuma ietvaros plānoto investīciju papildinātību un sinerģiju ar citiem atbalsta instrumentiem, ņemot vērā, ka, piemēram, saules elektrostaciju iegāde un uzstādīšana tiek atbalstīta arī citu ES investīciju instrumentu ietvaros (piemēram, atbalsts saules enerģiju izmantojošu elektroenerģijas ražošanas tehnoloģiju iegādei un uzstādīšanai komersantiem ir pieejams arī Atveseļošanas fonda 1.2.1.2.i.1. investīcijā "Energoefektivitātes paaugstināšana uzņēmējdarbībā (ietverot pāreju uz atjaunojamo energoresursu tehnoloģiju izmantošanu siltumapgādē)".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papildināt anotāciju ar informāciju, kā plānots nodrošināt dubultfinansējuma riska kontroli, ņemot vērā, ka saturiski līdzīgas atbalstāmās darbības tiek atbalstītas arī citu ES un valsts atbalsta investīciju instrumentu ietvaros. Aicinām minēt, vai ir veikti pasākumi demarkācijas nodrošināšanai, piemēram, nodalot finansējuma saņēmēju grupas, atbalstāmās teritorijas/ objektus, vai nodalot investīciju ieviešanu citā laikā/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(Irma Bondare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skaidri izsekojamu informāciju par 2.1.1.6.pasākuma ietvaros plānotā Eiropas Reģionālās attīstības fonda finansējuma dalījumu pa intervences kodiem atbilstoši ES kohēzijas politikas programmā 2021.-2027.gadam noteiktajam, lūdzam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Finanšu ministrijas rīcība esošajai informācijai 2.1.1.6.pasāuma ietvaros Eiropas Reģionālās attīstības fonda finansējums dalās starp 44 kodu "Publiskās infrastruktūras atjaunošana energoefektivitātes uzlabošanai vai energoefektivitātes pasākumi, demonstrējuma projekti un atbalsta pasākumi" 3 250 000 EUR un 48 kodu "Atjaunojamie energoresursi: saule" 3 250 000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(Irma Bondare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anotāciju ar informāciju par 2.1.1.6.pasākuma otrās kārtas ietvaros plānoto investīciju sasaisti ar Eiropas Savienības stratēģijā Baltijas jūras reģionam (ESSBJR) noteikto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kohēzijas politikas programmā 2021.-2027.gadam 2.1.1.specifskā atbalsta mērķa apraksta sadaļā "Starpreģionālās, pārrobežu un transnacionālās darbības" ir iekļauta informācija par sasaisti ar ESSBJR. Attiecīgi aicinām vērtēt, vai minētie aspekti piemērojami 2.1.1.6.pasākuma otrajai kārtai.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(Irma Bondare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24-TA-1532</w:t>
    </w:r>
    <w:r>
      <w:br/>
    </w:r>
    <w:r w:rsidR="00000000" w:rsidRPr="00000000" w:rsidDel="00000000">
      <w:rPr>
        <w:rtl w:val="0"/>
      </w:rPr>
      <w:t xml:space="preserve">Izdrukāts 13.08.2024. 11.04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24-TA-1532</w:t>
    </w:r>
    <w:r>
      <w:br/>
    </w:r>
    <w:r w:rsidR="00000000" w:rsidRPr="00000000" w:rsidDel="00000000">
      <w:rPr>
        <w:rtl w:val="0"/>
      </w:rPr>
      <w:t xml:space="preserve">Izdrukāts 13.08.2024. 11.04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Atzinumi_24-TA-1532.docx</dc:title>
</cp:coreProperties>
</file>

<file path=docProps/custom.xml><?xml version="1.0" encoding="utf-8"?>
<Properties xmlns="http://schemas.openxmlformats.org/officeDocument/2006/custom-properties" xmlns:vt="http://schemas.openxmlformats.org/officeDocument/2006/docPropsVTypes"/>
</file>