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25. februāra noteikumos Nr. 116 "Lauksaimniecības dzīvnieku un akvakultūras dzīvnieku, to ganāmpulku un novietņu reģistrēšanas kārtība un lauksaimniecības dzīvnieku apzīmēšanas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5.4. apakšsadaļas 1. tabulas ierakstu iepretim </w:t>
            </w:r>
            <w:r w:rsidR="00000000" w:rsidRPr="00000000" w:rsidDel="00000000">
              <w:rPr>
                <w:i w:val="1"/>
                <w:rtl w:val="0"/>
              </w:rPr>
              <w:t xml:space="preserve">Komisijas 2019. gada 28. jūnija Deleģētai regulai (ES) 2019/2035, ar ko attiecībā uz noteikumiem, kurus piemēro sauszemes dzīvnieku turēšanas objektiem un inkubatoriem, un attiecībā uz konkrētu sauszemes dzīvnieku un inkubējamu olu izsekojamību papildina Eiropas Parlamenta un Padomes Regulu (ES) 2016/429</w:t>
            </w:r>
            <w:r w:rsidR="00000000" w:rsidRPr="00000000" w:rsidDel="00000000">
              <w:rPr>
                <w:rtl w:val="0"/>
              </w:rPr>
              <w:t xml:space="preserve"> (turpmāk - regula 2021/2035), norādot, ka arī ar projekta 1.31. apakšpunktu tiek ieviests minētās regulas 73.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tiesisko pamatojumu personas datu apstrādei atbilstoši Eiropas Parlamenta un Padomes 2016. gada 27. aprīļa Regulas (ES) 2016/679 par fizisku personu aizsardzību attiecībā uz personas datu apstrādi un šādu datu brīvu apriti un ar ko atceļ Direktīvu 95/46/EK (Vispārīgā datu aizsardzības regula)  6. panta 1. punktam, kā arī norādot spēkā esošu ārējo normatīvo aktu, no kā ir izsecināma nepieciešamība apstrādāt personu datus projektā paredzētajā veidā. Skaidrojam, ka norāde par to, ka projektā ietvertā plānotā personas datu apstrāde un aprite ir izvērtēta un atbilstoša Vispārīgās datu aizsardzības regulas 5. panta 1. punkta ''a'' apakšpunktam un 6. pantam, nav pietiekama. Lai būtu izprotams tiesiskais pamats personas datu apstrādei, nepieciešams norādīt attiecīgo regulas 6. panta 1. punktā minēto piemērojamo pamatojumu, piemēram, uz projektu varētu tikt attiecināts Vispārīgās datu aizsardzības regulas 6. panta 1. punkta "c" un "e" apakšpunkts kā piemērojamais tiesiskais pamatojums personas datu apstrādei, kā arī tas izriet no Dzīvnieku audzēšanas un ciltsdarba likuma 10.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veic pasūtījumu, piezvanot uz dienesta tīmekļvietnē norādīto tālruņa numuru vai izmantojot elektroniskās paziņošanas sistēmu un paziņojot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1.37. apakšpunktā (noteikumu 38. punkts) noteikts, ka dzīvnieku operators var veikt pasūtījumu, piezvanot uz dienesta tīmekļvietnē norādīto tālruņa numuru vai izmantojot elektroniskās paziņošanas sistēmu. Saistībā ar minēto vēršam uzmanību, ka privātpersonai saistošas prasības var ietvert tikai ārējā normatīvajā aktā, nevis dienesta tīmekļvietnē, turklāt tīmekļvietnes saturs var mainīties, tādējādi radot tiesisko nenoteiktību attiecībā uz operatoram saistošo paziņošanas kārtību. Turklāt telefona zvana kā paziņošanas veida paredzēšana apgrūtina paziņojuma satura un fakta pierādīšanu, tādēļ aicinām izvērtēt un paredzēt paziņošanu tikai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Aitas un kazas, kas saskaņā ar regulas </w:t>
            </w:r>
            <w:r w:rsidR="00000000" w:rsidRPr="00000000" w:rsidDel="00000000">
              <w:rPr>
                <w:rtl w:val="0"/>
              </w:rPr>
              <w:t xml:space="preserve">2019/2035</w:t>
            </w:r>
            <w:r w:rsidR="00000000" w:rsidRPr="00000000" w:rsidDel="00000000">
              <w:rPr>
                <w:rtl w:val="0"/>
              </w:rPr>
              <w:t xml:space="preserve"> 47. pantu tiek turētas norobežotos objektos un ar kultūru, rekreāciju vai zinātni saistītiem nolūkiem, apzīmē ar injicējamo transponderu līdz deviņu mēnešu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projekta 1.46. apakšpunkta (noteikumu 50.</w:t>
            </w:r>
            <w:r w:rsidR="00000000" w:rsidRPr="00000000" w:rsidDel="00000000">
              <w:rPr>
                <w:vertAlign w:val="superscript"/>
                <w:rtl w:val="0"/>
              </w:rPr>
              <w:t xml:space="preserve">4</w:t>
            </w:r>
            <w:r w:rsidR="00000000" w:rsidRPr="00000000" w:rsidDel="00000000">
              <w:rPr>
                <w:rtl w:val="0"/>
              </w:rPr>
              <w:t xml:space="preserve"> punkta) atbilstību regulas 2019/2035 47. pantam (kopsakarā ar 45. panta 2. punktu), kā arī regulas tiešās piemērojamības principam, kas nostiprināts Līgums par Eiropas Savienības darbību 288. pantā. Vēršam uzmanību, ka regulas 2019/2035 47. pants paredz kompetentās iestādei iespēju atbrīvot norobežotu objektu operatorus no 45. panta 2. punktā noteiktajām prasībām un ļauj izmantot vai nu elektronisko identifikācijas kapsulu, vai injicējamo transponderu. Kā arī regulas 2019/2035 45. panta 2. punkts nosaka:" </w:t>
            </w:r>
            <w:r w:rsidR="00000000" w:rsidRPr="00000000" w:rsidDel="00000000">
              <w:rPr>
                <w:i w:val="1"/>
                <w:rtl w:val="0"/>
              </w:rPr>
              <w:t xml:space="preserve">Aitu un kazu turēšanas operatori nodrošina, ka visas aitas un kazas, </w:t>
            </w:r>
            <w:r w:rsidR="00000000" w:rsidRPr="00000000" w:rsidDel="00000000">
              <w:rPr>
                <w:i w:val="1"/>
                <w:u w:val="single"/>
                <w:rtl w:val="0"/>
              </w:rPr>
              <w:t xml:space="preserve">kuras vēl pirms 12 mēnešu vecuma</w:t>
            </w:r>
            <w:r w:rsidR="00000000" w:rsidRPr="00000000" w:rsidDel="00000000">
              <w:rPr>
                <w:i w:val="1"/>
                <w:rtl w:val="0"/>
              </w:rPr>
              <w:t xml:space="preserve"> sasniegšanas nav paredzēts pārvietot tieši uz kautuvi, tiek individuāli identificētas, izmantojot</w:t>
            </w:r>
            <w:r w:rsidR="00000000" w:rsidRPr="00000000" w:rsidDel="00000000">
              <w:rPr>
                <w:rtl w:val="0"/>
              </w:rPr>
              <w:t xml:space="preserve"> (..)".  Savukārt projekta redakcija nosaka obligātu injicējamā transpondera izmantošanu līdz deviņu mēnešu vecumam, tādējādi pirmšķietami korekti neizmantojot regulā 2019/2035 paredzēto rīcības brīvību, radot risku atšķirīgai interpretācijai, kas nav pieļaujama, ņemot vērā regulas tiešās piemērojamības principu. Aicinām precizēt projekta redakciju, nodrošinot tās pilnīgu atbilstību regulas 2019/2035 normu saturam, vai sniegt pamatotu skaidrojumu par rīcības brīvības izmantošanu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25-TA-2131</w:t>
    </w:r>
    <w:r>
      <w:br/>
    </w:r>
    <w:r w:rsidR="00000000" w:rsidRPr="00000000" w:rsidDel="00000000">
      <w:rPr>
        <w:rtl w:val="0"/>
      </w:rPr>
      <w:t xml:space="preserve">Izdrukāts 24.02.2026.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25-TA-2131</w:t>
    </w:r>
    <w:r>
      <w:br/>
    </w:r>
    <w:r w:rsidR="00000000" w:rsidRPr="00000000" w:rsidDel="00000000">
      <w:rPr>
        <w:rtl w:val="0"/>
      </w:rPr>
      <w:t xml:space="preserve">Izdrukāts 24.02.2026.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Atzinumi_25-TA-2131.docx</dc:title>
</cp:coreProperties>
</file>

<file path=docProps/custom.xml><?xml version="1.0" encoding="utf-8"?>
<Properties xmlns="http://schemas.openxmlformats.org/officeDocument/2006/custom-properties" xmlns:vt="http://schemas.openxmlformats.org/officeDocument/2006/docPropsVTypes"/>
</file>