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netiek atbalstītas tādas projekta iesniedzēja darbības, kurām Taisnīgas pārkārtošanās fonda finansējums ir kvalificējams kā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tālāk noteikumu projekta tekstā runa ir tikai par atbalstu pašvaldības funkciju īstenošanai, kas tiek īstenota, neveicot saimniecisko darbību, un, kuru īstenojot, tiek pieļauta papildinoša saimnieciskā darbība, lūdzam precizēt noteikumu projekta 6.punktu. Proti, noteikumu projekta kontekstā nav paredzēts vērtēt atbilstību Komercdarbības atbalsta kontroles likuma 5.panta pazīmēm, lai secinātu, vai tās izpildās un pasākums kvalificējams kā komercdarbības atbalsts. Noteikumu projektā plānots atbalsts tikai projekta iesniedzēja nesaimnieciskajām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analoģijas, lūdzam pārskatīt noteikumu projekta 57. un 58.punkta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Taisnīgas pārkārtošanās fonda finansējums tiek piešķirts, lai saskaņā ar normatīvajiem aktiem pašvaldību darbības jomā īstenotu pašvaldības autonomās funkcijas –  gādāt par iedzīvotāju izglītību, nodrošināt iedzīvotājiem atbalstu sociālo problēmu risināšanā, kā arī iespēju saņemt sociālo palīdzību un sociālos pakalpojumus, sniegt iedzīvotājiem daudzveidīgu kultūras piedāvājumu un iespēju piedalīties kultūras dzīvē un gādāt par iedzīvotāju veselību, organizējot veselības aprūpes pakalpojumu pieejamību – un nodrošinātu no šīm autonomajām funkcijām izrietošo pārvaldes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jau iepriekš minētajām pašvaldību funkcijām, konstatējam, ka noteikumu projekts papildināts ar funkciju "gādāt par iedzīvotāju veselību, organizējot veselības aprūpes pakalpojumu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valsts un pašvaldību atbalsts valsts apmaksāto veselības aprūpes pakalpojumu sniegšanai kvalificējams kā komercdarbības atbalsts un tiek nodrošināts Latvijā, piemērojot </w:t>
            </w:r>
            <w:r w:rsidR="00000000" w:rsidRPr="00000000" w:rsidDel="00000000">
              <w:rPr>
                <w:i w:val="1"/>
                <w:rtl w:val="0"/>
              </w:rPr>
              <w:t xml:space="preserve">Komisijas 2011. gada 20. decembra lēmuma (2012/21/ES) par LESD 106.panta 2.punkta piemērošanu valsts atbalstam attiecībā uz kompensāciju par sabiedriskajiem pakalpojumiem dažiem uzņēmumiem, kuriem uzticēts sniegt pakalpojumus ar vispārēju tautsaimniecisku nozīmi, nosacījumus</w:t>
            </w:r>
            <w:r w:rsidR="00000000" w:rsidRPr="00000000" w:rsidDel="00000000">
              <w:rPr>
                <w:rtl w:val="0"/>
              </w:rPr>
              <w:t xml:space="preserve">, un tā kā noteikumu projekts nesniedz skaidrību par to, kā tieši ar bezemisiju transportlīdzekļu iegādes un uzlādes infrastruktūras attīstības palīdzību tiek plānots organizēt piekļuvi veselības aprūpes pakalpojumiem un kurām pašvaldību iedzīvotāju grupām, skaidrojam, ka gadījumā, ja izveidotā infrastruktūra tiks izmantota ikvienam iedzīvotājam veselības aprūpes pakalpojumu pieejamībai, pakalpojums potenciāli var konkurēt tirgū gan ar sabiedriskā transporta pakalpojumu, gan, ņemot vērā, kā plānotais aprakstīts, anotācijā, ar Neatliekamās medīcīnas palīdzības dienesta vai ārstniecības iestādes sniegto pakalpojumu, gan ar jebkuru citu pārvadātāju sniegtu pakalpojumu tirgū, tostarp, taksometru pakalpojumu. Lūdzam norādīt, kā tiks nodrošināts, ka bezemisiju transports tiks izmantots tikai gadījumos, kad esošā sabiedriskā transporta sistēma nav tam piemērota, kā tas minēts anotācijā, proti, vai šo noteikumu sagatavošanas laikā ir noskaidrots, ka minētajos gadījumos pastāv tirgus nepilnība, vai arī tas būs jāpierāda projekta iesniedzējam. Lūdzam arī izvērtēt, vai tas, kā anotācijā aprakstīta bezemisiju transportlīdzekļu izmantošana veselības aprūpes pakalpojumu pieejamības jomā, iespējams, drīzāk nebūtu sasaistāms ar pašvaldības īstenoto sociālo funkciju, nevis ar veselības aprūpes pakalpojumu pieejamību.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pieļaujams, ka projekta ietvaros iegādāto bezemisiju transportlīdzekli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autonomo funkciju īstenošanai un tā darbības nodrošināšanai paredzēto uzlādes punkta infrastruktūru (ja attiecināms) vismaz 80 procentu apjomā no to gada jaudas laika izteiksmē izmanto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pašvaldības autonomo funkciju nodrošināšanai un no šīm autonomajām funkcijām izrietošo pārvaldes uzdevumu izpildei un līdz 20 procentiem no gada jaudas laika izteiksmē – papildinošās saimnieciskās darbības īstenošanai. Finansējuma saņēmējs projekta iesniegumam pievieno apliecinājumu par projekta ietvaros iegādāto bezemisiju transportlīdzekļa un tā darbības nodrošināšanai paredzēto uzlādes punkta infrastruktūras izmantošanas nosacījumu ievērošanu atbilstoši šajā punktā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par to, ka nav skaidrs, ko ietver visu noteikumu projekta 7.punktā uzskaitīto pašvaldības funkciju nesaimnieciskā pamatdarbība un līdz ar to nav arī iespējams noteikumu projekta kontekstā saprast, kas katras minētās funkcijas gadījumā būtu uzskatāma par papildinošu saimniecisku darbību. Skaidrojam, ka noteikumu projekta 8.punktā minētais nosacījums par bezemisiju transportlīdzekļa izmantošanu vismaz 80 % apmērā nesaimnieciskai darbībai, vērtējams saistībā ar katru uzskaitīto pašvaldības funkciju. Atkārtoti lūdzam precizēt noteikumu projektu, norādot minēto informāciju, tostarp, kādas darbības būtu pamatdarbība, piemēram, funkcijai 'sniegt iedzīvotājiem daudzveidīgu kultūras piedāvājumu, un iespēju piedalīties kultūras dzīvē'. Saprotot pašvaldību funkcijas pamatdarbību, kurai plānots atbalsts šo noteikumu ietvaros, būs iespējams secināt, vai anotācijā minētie papildinošas saimnieciskās darbības piemēri ir korekti. Anotācijā ir pretrunīga informācija attiecībā uz pamatdarbību atsevišķu funkciju gadījumos un iespējamiem papildinošās saimnieciskās darbības (turpmāk - PSD) piemēriem (nav skaidrs, vai pašvaldību kultūras darbinieku vai amatiermākslas kolektīvu nokļūšanai kultūras pasākumu norises vietās ir pamatdarbība vai PSD, jo šāda informācija minēta saistībā ar abām darbībām, un kas būtu pamatdarbība šīs funkcijas ietvaros, kam tiktu izmantoti bezemisiju transportlīdzekļi).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izpratnē par papildinošo saimniecisko darbību uzskata iedzīvotāju mobilitātes nodrošināšanu pasākumos, kas ir tieši saistīti ar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pašvaldības autonomo funkciju īstenošanas procesu, piemēram, izglītojamo nodrošināšana ar transportu braucienam uz teātri, koncertu, ekskursijā un līdzīgiem pasākumiem, sociālo pakalpojumu, sociālās palīdzības un sociālās aprūpes klientu un darbinieku mobilitātes nodrošināšanu pasākumos, kas ir tieši saistīti ar sociālās palīdzības, sociālās aprūpes un sociālo pakalpojumu sasniegšanu un saņemšanu, kā arī pašvaldības kultūras darbinieku vai amatiermākslas kolektīvu mobilitātes nodrošināšanu pasākumos, kas ir tieši saistīti ar pašvaldības kultūras piedāvājuma nodrošināšanu, vai bezemisiju transportlīdzekļu uzlādes infrastruktūras (ja attiecināms) lietošanu citu pašvaldības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autonomo funkciju nodrošināšanai paredzēto transportlīdzekļu uzlādei.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9.punkta redakciju, atkārtoti izvērtējot, kas būtu katras pašvaldības funkcijas pamatdarbība un kas - PSD. Lūdzam arī skatīt komentāru pie noteikumu projekta 8.punkta.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Sadarbības iestāde, izvērtējot finansējuma saņēmēja sniegto un sadarbības iestādes rīcībā esošo informāciju un konstatējot pārkāpumus, pieņem lēmumu par Taisnīgas pārkārtošanās fonda finansējuma maksājumu apturēšanu vai atgūšanu no finansējuma saņēmēja saskaņā ar civiltiesiskajā līgumā vai vienošanās par projekta īstenošanu noteikto kārtību vai veic finansējuma atgūšanu, ievērojot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punkta</w:t>
            </w:r>
            <w:r w:rsidR="00000000" w:rsidRPr="00000000" w:rsidDel="00000000">
              <w:rPr>
                <w:rtl w:val="0"/>
              </w:rPr>
              <w:t xml:space="preserve"> nosacījumus,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61.punkta redakciju, jo minētie pārkāpumu piemēri 61.1 un 61.2 apakšpunktos nenozīmē, ka jāpiemēro nelikumīga komercdarbības atbalsta atgūšanas normas, kas minētas noteikumu projekta 57.vai 58.punktos.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Atbildīgā iestāde pēc Eiropas Komisijas lēmuma par vidusposma pārskatu var ierosināt palielināt pasākumam pieejamo kopējo finansējumu līdz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minētajam kopējam finansējuma apmēram, paredzot elastības finansējuma izmantošanu šo noteikumu </w:t>
            </w:r>
            <w:r w:rsidR="00000000" w:rsidRPr="00000000" w:rsidDel="00000000">
              <w:rPr>
                <w:rtl w:val="0"/>
              </w:rPr>
              <w:t xml:space="preserve">17.2. </w:t>
            </w:r>
            <w:r w:rsidR="00000000" w:rsidRPr="00000000" w:rsidDel="00000000">
              <w:rPr>
                <w:rtl w:val="0"/>
              </w:rPr>
              <w:t xml:space="preserve">apakšpunktā</w:t>
            </w:r>
            <w:r w:rsidR="00000000" w:rsidRPr="00000000" w:rsidDel="00000000">
              <w:rPr>
                <w:rtl w:val="0"/>
              </w:rPr>
              <w:t xml:space="preserve"> ​​​​​​​ minētajai otrajai atlases kārtai.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18. punktu aiz vārdiem "var ierosināt" ar vārdiem un skaitļiem "no 2026. gada 1. 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iesniedzējs, kas pēc civiltiesiskā līguma vai vienošanās par projekta īstenošanu noslēgšanas ir finansējuma saņēmējs, pasākuma ietvaros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fondu 2021.—2027. gada plānošanas perioda vadības likuma 1. panta 3. punktu finansējuma saņēmējs ir persona, kuras projekta iesniegums ir apstiprināts. Ievērojot minēto, lūdzam aizstāt noteikumu projekta 23. punkta ievaddaļā vārdus "civiltiesiskā līguma vai vienošanās par projekta īstenošanu noslēgšanas" ar vārdiem "projekta iesnieguma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Finansējuma saņēmējs ievēro principu "Nenodarīt būtisku kaitējumu", kas atbilst </w:t>
            </w:r>
            <w:r w:rsidR="00000000" w:rsidRPr="00000000" w:rsidDel="00000000">
              <w:rPr>
                <w:rtl w:val="0"/>
              </w:rPr>
              <w:t xml:space="preserve">​</w:t>
            </w:r>
            <w:r w:rsidR="00000000" w:rsidRPr="00000000" w:rsidDel="00000000">
              <w:rPr>
                <w:rtl w:val="0"/>
              </w:rPr>
              <w:t xml:space="preserve">Eiropas Parlamenta un Padomes Regulas (ES) </w:t>
            </w:r>
            <w:r w:rsidR="00000000" w:rsidRPr="00000000" w:rsidDel="00000000">
              <w:rPr>
                <w:rtl w:val="0"/>
              </w:rPr>
              <w:t xml:space="preserve">2020/852</w:t>
            </w:r>
            <w:r w:rsidR="00000000" w:rsidRPr="00000000" w:rsidDel="00000000">
              <w:rPr>
                <w:rtl w:val="0"/>
              </w:rPr>
              <w:t xml:space="preserve"> (2020. gada 18. jūnijs) </w:t>
            </w:r>
            <w:r w:rsidR="00000000" w:rsidRPr="00000000" w:rsidDel="00000000">
              <w:rPr>
                <w:i w:val="1"/>
                <w:rtl w:val="0"/>
              </w:rPr>
              <w:t xml:space="preserve">par regulējuma izveidi ilgtspējīgu ieguldījumu veicināšanai un ar ko groza regulu (ES) 2019/2088</w:t>
            </w:r>
            <w:r w:rsidR="00000000" w:rsidRPr="00000000" w:rsidDel="00000000">
              <w:rPr>
                <w:rtl w:val="0"/>
              </w:rPr>
              <w:t xml:space="preserve"> 18. pantam un normatīvajiem aktiem vides jomā,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juridiskās tehniskas prasības, lūdzam noteikumu projektā, kā arī anotācijā norādīt regulu izdošanas datumu pēc tās izdevējiestādes.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Finansējuma saņēmējs ievēro principu "Nenodarīt būtisku kaitējumu", kas atbilst ​Eiropas Parlamenta un Padomes 2020. gada 18. jūnija Regulas (ES) 2020/852 par regulējuma izveidi ilgtspējīgu ieguldījumu veicināšanai un ar ko groza regulu (ES) 2019/2088, 18. pantam un normatīvajiem aktiem vides jomā,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44.7. nodrošina interešu konflikta neesamību saskaņā ar Eiropas Parlamenta un Padomes Regulas (ES, Euratom) </w:t>
            </w:r>
            <w:r w:rsidR="00000000" w:rsidRPr="00000000" w:rsidDel="00000000">
              <w:rPr>
                <w:i w:val="1"/>
                <w:rtl w:val="0"/>
              </w:rPr>
              <w:t xml:space="preserve"> </w:t>
            </w:r>
            <w:r w:rsidR="00000000" w:rsidRPr="00000000" w:rsidDel="00000000">
              <w:rPr>
                <w:rtl w:val="0"/>
              </w:rPr>
              <w:t xml:space="preserve">2018/1046</w:t>
            </w:r>
            <w:r w:rsidR="00000000" w:rsidRPr="00000000" w:rsidDel="00000000">
              <w:rPr>
                <w:rtl w:val="0"/>
              </w:rPr>
              <w:t xml:space="preserve"> (2018. gada 18. jūlijs) </w:t>
            </w:r>
            <w:r w:rsidR="00000000" w:rsidRPr="00000000" w:rsidDel="00000000">
              <w:rPr>
                <w:i w:val="1"/>
                <w:rtl w:val="0"/>
              </w:rPr>
              <w:t xml:space="preserve">par</w:t>
            </w:r>
            <w:r w:rsidR="00000000" w:rsidRPr="00000000" w:rsidDel="00000000">
              <w:rPr>
                <w:i w:val="1"/>
                <w:rtl w:val="0"/>
              </w:rPr>
              <w:t xml:space="preserve">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000000" w:rsidRPr="00000000" w:rsidDel="00000000">
              <w:rPr>
                <w:rtl w:val="0"/>
              </w:rPr>
              <w:t xml:space="preserve"> 61. panta prasībām, kā arī paraksta interešu konflikta neesamības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ka finansējuma saņēmējs izstrādā nosacījumus, kā tas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44.7. nodrošina interešu konflikta neesamību saskaņā ar Eiropas Parlamenta un Padomes Regulas (ES, Euratom) </w:t>
            </w:r>
            <w:r w:rsidR="00000000" w:rsidRPr="00000000" w:rsidDel="00000000">
              <w:rPr>
                <w:i w:val="1"/>
                <w:rtl w:val="0"/>
              </w:rPr>
              <w:t xml:space="preserve"> </w:t>
            </w:r>
            <w:r w:rsidR="00000000" w:rsidRPr="00000000" w:rsidDel="00000000">
              <w:rPr>
                <w:rtl w:val="0"/>
              </w:rPr>
              <w:t xml:space="preserve">2018/1046</w:t>
            </w:r>
            <w:r w:rsidR="00000000" w:rsidRPr="00000000" w:rsidDel="00000000">
              <w:rPr>
                <w:rtl w:val="0"/>
              </w:rPr>
              <w:t xml:space="preserve"> (2018. gada 18. jūlijs) </w:t>
            </w:r>
            <w:r w:rsidR="00000000" w:rsidRPr="00000000" w:rsidDel="00000000">
              <w:rPr>
                <w:i w:val="1"/>
                <w:rtl w:val="0"/>
              </w:rPr>
              <w:t xml:space="preserve">par</w:t>
            </w:r>
            <w:r w:rsidR="00000000" w:rsidRPr="00000000" w:rsidDel="00000000">
              <w:rPr>
                <w:i w:val="1"/>
                <w:rtl w:val="0"/>
              </w:rPr>
              <w:t xml:space="preserve">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000000" w:rsidRPr="00000000" w:rsidDel="00000000">
              <w:rPr>
                <w:rtl w:val="0"/>
              </w:rPr>
              <w:t xml:space="preserve"> 61. panta prasībām, kā arī paraksta interešu konflikta neesamības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arī publisko iepirkumu veikšanu, lūdzam papildināt noteikumu projekta 44.7. apakšpunktu aiz skaitļa un vārda "61. panta" ar vārdiem "un publiskos iepirkumus regulējošo normatīvo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anotācijā sniegto pamatojumu izmaksu un ieguvumu analīzes nepiemērošanai attiecīgajā investīcijā. Vēršam uzmanību, ka siltumnīcefekta gāzu emisiju (turpmāk – SEG) samazinājums ir viens no sociālekonomiskajiem ieguvumiem, kas tiek vērtēts izmaksu un ieguvumu analīzes ietvaros un attiecīgās investīcijas projektu iesniegumu vērtēšanas kritērijos jau ir paredzēts atbalstīt projektus ar lielāku ietekmi uz SEG samazinājumu. Tāpat investīcijas ietvaros ir svarīga arī izmaksu efektivitāte, kuras novērtēšanai ir plānoti vērtēšanas kritēriji un projektu iesniegumu vērtēšanas kritērijos jau ir paredzēts atbalstīt projektus ar augstāku izmaksu efektivitāti.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iepriekšējā saskaņošanas reizē sniegtajam vadošās iestādes priekšlikumam, aicinām arī anotācijā visā tekstā, kur attiecināms, aizstāt terminus personāla atlīdzība/ personāla atlīdzības izmaksas ar "personāla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anotācijas 2. sadaļu "Tiesību akta projekta ietekmējamās sabiedrības grupas, ietekme uz tautsaimniecības attīstību un administratīvo slogu" ar pēc iespējas skaitliskā izteiksmē izmērāmu sagaidāmo ietekmi uz tautsaimniecību, ņemot vērā investīcijas kopējo būtību un mērķi. Atgādinām, ka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