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16., un 18. punktu, tiesību akta projektam ir jāvērtē ietekme uz administratīvo slogu un apstiprinoša rezultāta gadījumā jāveic administratīvo izmaksu un atbilstības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un/vai atbilstības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vērtējams vai ar tiesību akta projektā veiktajām izmaiņām tiek ietekmēts administratīvais slogs, un, vai izmainās informācijas sniegšanas pienākuma un/vai atbilstību izmaksu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un atbilstības izmaksu esamības vērtējumu un atbilstoši vērtējumam veikt administratīvo izmaksu un/vai atbilstības izmaksu monetāru novērtējumu, kas aizpildāms par fiziskām un juridiskām personām anotācijas 2. sadaļas 2.3., un 2.4. apakšpunktā un valsts vai pašvaldību institūcijām 7. sadaļas 7.2., un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anotācijas 7.4. apakšpunktā ietverto norādi, ka valsts institūcijām samazinās administratīvais slogs, ir vērtējams vai ar tiesību akta projektā veiktajām izmaiņām tiek ietekmēts administratīvais slogs, un, vai izmainās informācijas sniegšanas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izmaksu esamības vērtējumu un atbilstoši vērtējumam veikt administratīvo izmaksu monetāru novērtējumu, kas aizpildāms par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23.10.2024.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23.10.2024.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