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finansējuma piešķiršanu Rēzeknes novada pašvaldības kapitālsabiedrībai SIA "Rēzeknes novada komunālserviss"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rīkojuma projekta un tā anotācijas izriet, ka ar minēto rīkojuma projektu Rēzeknes novada pašvaldības piederošajā zemes īpašumā tiek paredzēta publisko līdzekļu piešķiršana saimnieciskās darbības veicējam (SIA “Rēzeknes novada komunālserviss”), jaunas ūdensapgādes stacijas izveidošanai, kas aizstātu Nacionālo bruņoto spēku militārās bāzes “Lūznava”  teritorijā esošo ūdenstorni, un citu būvniecībai saistošu darbu veikšanai, taču anotācijā nav ietverts izvērtējums par minētā pasākuma atbilstību Komercdarbības atbalsta kontroles likuma (turpmāk – KAKL) 5.pantā ietvertajām komercdarbības atbalstu raksturojošajām pazīmēm. Lai nodrošinātu skaidrību, ka komercdarbības atbalsta kontroles regulējuma nosacījumi konkrētā pasākuma ietvaros ir ievēroti attiecībā uz publiskā finansējuma piešķiršanu saimnieciskās darbības veicējam (SIA “Rēzeknes novada komunālserviss”), lūdzam Ministru kabineta rīkojuma projekta anotāciju papildināt ar minēto komercdarbības atbalsta izvērtējumu, kā arī norādīt piemērojamo komercdarbības atbalsta regulējumu. Vienlaikus vēršam Aizsardzības ministrijas uzmanību, ka atbalsts sabiedrisko ūdenssaimniecības pakalpojumu sniegšanai Latvijā parasti tiek piešķirts, ievērojot komercdarbības atbalsta regulējuma vispārējās tautsaimnieciskas nozīmes jomā prasības, t.i., šobrīd attiecībā uz visiem jauniem komercdarbības atbalsta pasākumiem ir jāpiemēro </w:t>
            </w:r>
            <w:r w:rsidR="00000000" w:rsidRPr="00000000" w:rsidDel="00000000">
              <w:rPr>
                <w:i w:val="1"/>
                <w:rtl w:val="0"/>
              </w:rPr>
              <w:t xml:space="preserve">Komisijas Lēmums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kas aizstāj līdzšinējo Komisijas Lēmumu 2012/21/ES (2011.gada 20.decembris) par Līguma par Eiropas Savienības darbību 106.panta 2.punkta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anotācijā ietverto informāciju, ka: </w:t>
            </w:r>
            <w:r w:rsidR="00000000" w:rsidRPr="00000000" w:rsidDel="00000000">
              <w:rPr>
                <w:i w:val="1"/>
                <w:rtl w:val="0"/>
              </w:rPr>
              <w:t xml:space="preserve">“Iepirkuma (ID Nr. RNP 2025/47) līgumu paredzēts slēgt s</w:t>
            </w:r>
            <w:r w:rsidR="00000000" w:rsidRPr="00000000" w:rsidDel="00000000">
              <w:rPr>
                <w:i w:val="1"/>
                <w:u w:val="single"/>
                <w:rtl w:val="0"/>
              </w:rPr>
              <w:t xml:space="preserve">tarp Sabiedrību un iepirkuma procedūrā izraudzīto pretendentu.</w:t>
            </w:r>
            <w:r w:rsidR="00000000" w:rsidRPr="00000000" w:rsidDel="00000000">
              <w:rPr>
                <w:i w:val="1"/>
                <w:rtl w:val="0"/>
              </w:rPr>
              <w:t xml:space="preserve">”</w:t>
            </w:r>
            <w:r w:rsidR="00000000" w:rsidRPr="00000000" w:rsidDel="00000000">
              <w:rPr>
                <w:rtl w:val="0"/>
              </w:rPr>
              <w:t xml:space="preserve">, skaidrojam, ka Eiropas Komisijas paziņojumā </w:t>
            </w:r>
            <w:r w:rsidR="00000000" w:rsidRPr="00000000" w:rsidDel="00000000">
              <w:rPr>
                <w:i w:val="1"/>
                <w:rtl w:val="0"/>
              </w:rPr>
              <w:t xml:space="preserve">“Komisijas paziņojums par Līguma par Eiropas Savienības darbību 107. panta 1. punktā minēto valsts atbalsta jēdzienu” (2016/C 262/01)</w:t>
            </w:r>
            <w:r w:rsidR="00000000" w:rsidRPr="00000000" w:rsidDel="00000000">
              <w:rPr>
                <w:rtl w:val="0"/>
              </w:rPr>
              <w:t xml:space="preserve"> (turpmāk – EK paziņojums) un tajā minēto Eiropas Savienības tiesas un Eiropas Komisijas lēmumu judikatūrā, cita starpā ir noteikts, ka, </w:t>
            </w:r>
            <w:r w:rsidR="00000000" w:rsidRPr="00000000" w:rsidDel="00000000">
              <w:rPr>
                <w:u w:val="single"/>
                <w:rtl w:val="0"/>
              </w:rPr>
              <w:t xml:space="preserve">lai izslēgtu ekonomisku priekšrocību (un attiecīgi pasākumā netiktu sniegts komercdarbības atbalsts konkrētam subjektam), attiecīgs darījums ir jāveic, ievērojot, ka aktīvu, preču un pakalpojumu pārdošana un pirkšana (vai cits salīdzināms darījums) ir veikts konkurenci nodrošinošā, pārredzamā, nediskriminējošā un beznosacījumu konkursa procedūrā </w:t>
            </w:r>
            <w:r w:rsidR="00000000" w:rsidRPr="00000000" w:rsidDel="00000000">
              <w:rPr>
                <w:rtl w:val="0"/>
              </w:rPr>
              <w:t xml:space="preserve">(plašāku skaidrojums ir ietverts EK paziņojuma 4.2.sadaļā). Līdz ar to, lai izslēgtu ekonomiskās priekšrocības preču piegādātājiem un pakalpojumu sniedzējiem, tādējādi novēršot tiem komercdarbības atbalsta piešķiršanu, tie būtu jāizraugās </w:t>
            </w:r>
            <w:r w:rsidR="00000000" w:rsidRPr="00000000" w:rsidDel="00000000">
              <w:rPr>
                <w:b w:val="1"/>
                <w:rtl w:val="0"/>
              </w:rPr>
              <w:t xml:space="preserve">atklātā, pārredzamā, nediskriminējošā un konkurenci nodrošinošā procedūrā</w:t>
            </w:r>
            <w:r w:rsidR="00000000" w:rsidRPr="00000000" w:rsidDel="00000000">
              <w:rPr>
                <w:rtl w:val="0"/>
              </w:rPr>
              <w:t xml:space="preserve">. Ievērojot minēto, lai nodrošinātu, ka arī preču piegādātāju vai pakalpojumu sniedzēju līmenī netiek sniegts komercdarbības atbalsts, lūdzam anotāciju papildināt arī ar nosacījumu, ka īstenojot minēto pasākumu, finansējuma saņēmējs izvēlējās un/vai izvēlēsies preču piegādātājus vai pakalpojumu sniedzējus saskaņā ar normatīvajiem aktiem publisko iepirkumu jomā, </w:t>
            </w:r>
            <w:r w:rsidR="00000000" w:rsidRPr="00000000" w:rsidDel="00000000">
              <w:rPr>
                <w:u w:val="single"/>
                <w:rtl w:val="0"/>
              </w:rPr>
              <w:t xml:space="preserve">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Platace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militārās bāzes "Lūznava" 1. kārtas būvdarbu īstenošanu, piešķirt 2026. gadā Rēzeknes novada pašvaldības kapitālsabiedrībai SIA “Rēzeknes novada komunālserviss” no Aizsardzības ministrijas budžeta programmas 33.00.00 “Aizsardzības īpašumu pārvaldīšana” finansējumu 1 193 743 euro apmērā  būvprojekta “Ārējo tīklu iznešana Bērzu alejā 2, Lūznavā, Rēzeknes novadā” būvdarbu un būvuzraudzības realizācijai.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sagatavots saskaņā ar likuma “Par valsts budžetu 2026. gadam un budžeta ietvaru 2026., 2027. un 2028. gadam” 48. pantā (turpmāk - likums) noteikto, lūdzam precizēt Ministru kabineta rīkojuma projekta 1. punktu, norādot pamatojumu (atsauci uz minēto likuma pantu) finansējuma piešķiršanai sadarbībai ar starptautiskajām un nevalstiskajām organizācijām, pašvaldībām un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kā tiks nodrošināta pārceltās un jaunizbūvētās infrastruktūras uzturēšana pēc būvdarbu pabeigšanas.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Zeiļuka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26-TA-645</w:t>
    </w:r>
    <w:r>
      <w:br/>
    </w:r>
    <w:r w:rsidR="00000000" w:rsidRPr="00000000" w:rsidDel="00000000">
      <w:rPr>
        <w:rtl w:val="0"/>
      </w:rPr>
      <w:t xml:space="preserve">Izdrukāts 11.05.2026.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26-TA-645</w:t>
    </w:r>
    <w:r>
      <w:br/>
    </w:r>
    <w:r w:rsidR="00000000" w:rsidRPr="00000000" w:rsidDel="00000000">
      <w:rPr>
        <w:rtl w:val="0"/>
      </w:rPr>
      <w:t xml:space="preserve">Izdrukāts 11.05.2026.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Atzinumi_26-TA-645.docx</dc:title>
</cp:coreProperties>
</file>

<file path=docProps/custom.xml><?xml version="1.0" encoding="utf-8"?>
<Properties xmlns="http://schemas.openxmlformats.org/officeDocument/2006/custom-properties" xmlns:vt="http://schemas.openxmlformats.org/officeDocument/2006/docPropsVTypes"/>
</file>