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netiek atbalstītas projekta iesniedzēja un sadarbības partnera aktivitātes, kurām sniegtais atbalsts kvalificējams kā komercdarbības atbalsts, izņemot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minētos nosacījumus, kā arī pasākuma ietvaros projekta iesniedzējam un sadarbības partneriem atbalsts tiek sniegts pārvaldes funkciju īstenošanai un pārvaldes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 punktā vārdus "kā arī pasākuma ietvaros projekta iesniedzējam un sadarbības partneriem atbalsts tiek sniegts pārvaldes funkciju īstenošanai un pārvaldes uzdevumu izpildei", ņemot vērā, ka atbalsts tiek sniegts noteikumu projektā ietverto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aktivitātes veic un atbalsts tiek sniegts finansējuma saņēmējam, nevis projekta iesniedzējam, un sadarbības partnerim, lūdzam aizstāt noteikumu projekta 30. punktā vārdus "projekta iesniedzēja" ar vārdiem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netiek atbalstītas finansējuma saņēmēja un sadarbības partnera aktivitātes, kurām sniegtais atbalsts kvalificējams kā komercdarbības atbalsts, izņemot šo noteikumu 29.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invazīvo sugu izplatības ierobežošana un izplatības mazināšana saskaņā ar Dabas aizsardzības pārvaldes invazīvo sugu faktu lapās iekļautajām sugām un nosacījumiem to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attiecībā uz atsevišķu invazīvo augu sugu ierobežošanu valsts jau ir kā pienākumu noteikusi katram zemes īpašniekam par to parūpēties obligāti, tajos gadījumos ir attiecināms “piesārņotājs maksā” princips, t.i. ir jānodrošina Komisijas 2014. gada 17. jūnija Regulas (ES) Nr. 651/2014, ar ko noteiktas atbalsta kategorijas atzīst par saderīgām ar iekšējo tirgu, piemērojot Līguma 107. un 108. pantu (turpmāk – regula Nr. 651/2014)45. panta 5. punkta nosacījumi par principa “piesārņotājs maksā” ievērošana. Lūdzam pārskatīt un precizēt noteikumus un sniegt skaidrojumu anotācijā tā, lai būtu noteikts, kādu invazīvo augu sugu ierobežošana ir/nav pieļaujama pasākuma ietvaros kā komercdarbības atbalsts saskaņā ar regulas Nr. 651/2014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attiecināmas ir šo noteikumu </w:t>
            </w:r>
            <w:r w:rsidR="00000000" w:rsidRPr="00000000" w:rsidDel="00000000">
              <w:rPr>
                <w:rtl w:val="0"/>
              </w:rPr>
              <w:t xml:space="preserve">36.2.</w:t>
            </w:r>
            <w:r w:rsidR="00000000" w:rsidRPr="00000000" w:rsidDel="00000000">
              <w:rPr>
                <w:rtl w:val="0"/>
              </w:rPr>
              <w:t xml:space="preserve">, </w:t>
            </w:r>
            <w:r w:rsidR="00000000" w:rsidRPr="00000000" w:rsidDel="00000000">
              <w:rPr>
                <w:rtl w:val="0"/>
              </w:rPr>
              <w:t xml:space="preserve">36.3.</w:t>
            </w:r>
            <w:r w:rsidR="00000000" w:rsidRPr="00000000" w:rsidDel="00000000">
              <w:rPr>
                <w:rtl w:val="0"/>
              </w:rPr>
              <w:t xml:space="preserve"> un </w:t>
            </w:r>
            <w:r w:rsidR="00000000" w:rsidRPr="00000000" w:rsidDel="00000000">
              <w:rPr>
                <w:rtl w:val="0"/>
              </w:rPr>
              <w:t xml:space="preserve">36.4.</w:t>
            </w:r>
            <w:r w:rsidR="00000000" w:rsidRPr="00000000" w:rsidDel="00000000">
              <w:rPr>
                <w:rtl w:val="0"/>
              </w:rPr>
              <w:t xml:space="preserve"> apakšpunktā minētās izmaksas atbilstoši regulas Nr. 651/2014 45.panta 2. punkta  “b”  un “c”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regulas Nr. 651/2014 45.panta 2. punkta  “b”  un “c” apakšpunktā noteiktajām darbībām ir attiecināmi dažādi nosacījumi, lūdzam juridiskai noteiktībai precizēt noteikumu projekta 42.1.apakšpunktu, nosakot, kuras no plānotajām atbalstāmajām izmaksām ir attiecināmas uz regulas Nr. 651/2014 45.panta 2. punkta  “b”  un kuras uz “c” apakšpunktā noteiktajām darbībām. Vienlaikus lūdzam attiecīgi pārskatīt arī citus saistītos noteikumu projekta punktus un iekļaut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1. panta 4. punkta "c" apakšpunktam, ka atbalsts netiek piešķirts grūtībās nonākušam komersantam, attiecībā uz kuru pastāv vismaz viena regulas Nr. 651/2014 2. panta 18. punktā minētā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Nr.651/2014 2.panta 18.punkta nosacījumi ir jāvērtē/jāpiemēro uzņēmuma grupas līmenī (regulas Nr.651/2014 angliskajā versijā nosacījumi, kas ir attiecināmi uz ‘undertaking’, ir jāpārbauda/jāpiemēro uzņēmuma grupas līmenī), lūdzam precizēt noteikumu projekta 49.4. apakšpunktu, lai nodrošinātu, ka ar terminu "saņēmējs" tiek saprasts, ka projekta iesniedzējs tiek vērtēts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aspektu lūdzam precizēt arī noteikumu projekta 49.3. apakšpunktu, lai nodrošinātu, ka ar terminu "saņēmējs" tiek saprasts, ka saņēmējs tiek vērtēts grupas līmenī. Papildus lūdzam anotāciju papildināt ar skaidrojumu par šo nosacījuma 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Maksimālā Eiropas Reģionālā attīstības fonda finansējuma intensitāte sadarbības partnerim šo noteikumu </w:t>
            </w:r>
            <w:r w:rsidR="00000000" w:rsidRPr="00000000" w:rsidDel="00000000">
              <w:rPr>
                <w:rtl w:val="0"/>
              </w:rPr>
              <w:t xml:space="preserve">36.2. </w:t>
            </w:r>
            <w:r w:rsidR="00000000" w:rsidRPr="00000000" w:rsidDel="00000000">
              <w:rPr>
                <w:rtl w:val="0"/>
              </w:rPr>
              <w:t xml:space="preserve">apakšpunktā minēto izmaksu segšanai, ievērojot regulas Nr. 651/2014 45. panta 9. punkta “b” apakšpunktu,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plānots piemērot arī intensitātes palielinājumu MVU saskaņā ar regulas Nr. 651/2014 45. panta 10. punktu, lūdzam noteikumu projekta 52.punktu papildināt ar atsauci uz 45. panta 10. punktu, kā arī anotācijas 5.4. sadaļas 1. tabulā pie noteikumu projekta 52.1.apakšpunkta izvērtējuma norādīt, ka noteikumi paredz stingrākas prasības, nekā pieļauj regula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ka, ievērojot regulā Nr.651/2014 noteikto, atbildīgā iestāde 20 darba dienu laikā pēc noteikumu spēkā stāšanās iesniegs Eiropas Komisijai pasākuma kopsavilkuma informāciju, izmantojot SANI2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2.1.apakšpunktā norādīto sadalījumu pa gadiem, ņemot vērā, ka kopsummām šajā punktā ir jāveidojas no Eiropas Reģionālās attīstības fonda (turpmāk – ERAF)  līdzfinansējuma un valsts budžeta līdzfinansējuma plānotajiem līdzekļiem attiecīgajos gados, vienlaikus precizējot arī pārējos anotācijas 3.sadaļas 3.1., 3.3., 5.1. un 5.3.apakšpunktus, nodrošinot, ka informācija savstarpēji sakrīt anotācijas 1.-5.punktos un to apakšpunktos ar 6.punktā norādīto finansējuma sadalījumu konkrētiem gadiem. Vēršam uzmanību, ka šobrīd 5.1. un 5.3.apakšpunktos manuāli ievadītas neprecīzas summas un tām pēc būtības ir jāsakrīt arī ar  3.1. un 3.3.apakšpunktos norādītajām precizētajām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3.sadaļas 5.3.apakšpunktu, kur precizētā finansiālā ietekme uz pašvaldību budžetiem jānorāda tādā pašā apmērā kā norādīta finansiālā ietekme uz pašvaldību budžetiem 3.3.apakšpunktā.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Valsts kancelejas vadlīnijas sākotnējās ietekmes tiesību akta projekta sākotnējās ietekmes novērtēšanai un novērtējuma ziņojuma sagatavošanai vienotajā tiesību aktu izstrādes un saskaņošanas  portālā ir pieejama detalizēta informācija par anotācijas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skaidrojumu par  ailēs “Pēcuzturēšana (10 gadu pēcuzturēšanas periods pēc projekta noslēguma) EUR KOPĀ ar PVN” un “Pēcuzturēšana (5 gadu pēcuzturēšanas periods pēc projekta noslēguma) EUR KOPĀ ar PVN” norādīto finansējumu un tā saistību ar ikgadējām uzturēšanas izmaksām, jo šobrīd nav izsekojamas norādītās uzturēšanas izmaksas un to nepieciešamais apmērs 1 kalendārā gada ietvaros. Papildus lūdzam norādīt gadu, ar kuru plānots pieprasīt nepieciešamās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norādītās pozīcijas nesniedz skaidrojumu, kādas tieši uzturēšanas izmaksas būs vajadzīgas, bet norāda uz aktivitāti, kuru pasākuma ietvaros plānots īstenot, attiecīgi arī to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3.sadaļas punktu “Cita informācija” ar norādi, ka attiecībā uz Dabas aizsardzības pārvaldes pasākuma ietvaros izveidotās infrastruktūras uzturēšanas izmaksas tiks pieprasītas normatīvajos aktos noteiktajā kārtībā (atbilstoši Likuma par budžetu un finanšu vadību 9.1 panta otrajā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6. punktā noteikto, ka pasākuma trešo un ceturto atlases kārtu īsteno līdz 2029. gada 31. decembrim, lūdzam precizēt anotācijas 3.sadaļas 6.punktu, kur nepieciešams svītrot norādīto finansējumu 2030.gadam, vienlaikus precizējot izdevumu procentuālo sadalījumu pa gadiem, lai kopsummā veidotos 100%, kā arī matemātiski precizēt finansējuma procentuālos aprēķinus pa gadiem, ievērojot proporcionālo ERAF un nacionālā līdzfinansējuma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ceturtajā atlases kārtā iznākuma rādītāja sasniegšanu apliecina Dabas aizsardzības pārvaldes izsniegts atzinums par aizsardzības un atjaunošanas pasākumu īstenošanas platību projekta Natura 2000 teritorijā atbilstoši Dabas aizsardzības pārvaldes metodiskajiem norādījumiem un rezultāta rādītāja sasniegšanu apliecina sugu vai biotopu eksperta izdots atzinums par atjaunoto degradēto Eiropas Savienības nozīmes biotopu teritoriju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salāgot MK noteikumu 9.punkta un anotācijas nosacījumus par rādītāju plānošanu un sasniegšanu 4.kārtai, papildinot anotācijā rindkopu par rādītāja plānošanu un sasniegšanu, ka projekta noslēgumā tiešo darbību platību apliecina tieši Dabas aizsardzības pārvaldes izsniegts sugu un biotopu eksperta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trešās atlases kārtas īstenošanai pieejamais finansējums ir 18 823 530 </w:t>
            </w:r>
            <w:r w:rsidR="00000000" w:rsidRPr="00000000" w:rsidDel="00000000">
              <w:rPr>
                <w:i w:val="1"/>
                <w:rtl w:val="0"/>
              </w:rPr>
              <w:t xml:space="preserve">euro</w:t>
            </w:r>
            <w:r w:rsidR="00000000" w:rsidRPr="00000000" w:rsidDel="00000000">
              <w:rPr>
                <w:rtl w:val="0"/>
              </w:rPr>
              <w:t xml:space="preserve">, tai skaitā Eiropas Reģionālās attīstības fonda finansējums 16 000 000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kas nepārsniedz 2 823 530 </w:t>
            </w:r>
            <w:r w:rsidR="00000000" w:rsidRPr="00000000" w:rsidDel="00000000">
              <w:rPr>
                <w:i w:val="1"/>
                <w:rtl w:val="0"/>
              </w:rPr>
              <w:t xml:space="preserve">euro</w:t>
            </w:r>
            <w:r w:rsidR="00000000" w:rsidRPr="00000000" w:rsidDel="00000000">
              <w:rPr>
                <w:rtl w:val="0"/>
              </w:rPr>
              <w:t xml:space="preserve"> vai privātais līdzfinansējums. Privātais līdzfinansējums tiek paredzēts šo noteikumu </w:t>
            </w:r>
            <w:r w:rsidR="00000000" w:rsidRPr="00000000" w:rsidDel="00000000">
              <w:rPr>
                <w:rtl w:val="0"/>
              </w:rPr>
              <w:t xml:space="preserve">21.1.4. </w:t>
            </w:r>
            <w:r w:rsidR="00000000" w:rsidRPr="00000000" w:rsidDel="00000000">
              <w:rPr>
                <w:rtl w:val="0"/>
              </w:rPr>
              <w:t xml:space="preserve"> apakšpunktā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un 14. punktu izdalot nacionālo līdzfinansējumu pa finansējuma avotiem.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13.punktā paredzēt arī pašvaldību līdzfinansējumu, gadījumā, ja trešajā atlases kārtā tiek plānota pašvaldības vai tās iestādes kā sadarbības partnera piesaiste atbilstoši 21.1.2. apakšpunktam. Tāpat lūdzam papildināt 13.punkta teikumu par privātā līdzfinansējuma paredzēšanu ar atsauci arī uz 21.1.3.apakšpunktu.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trešajā un ceturtajā atlases kārtā vienā projektu iesniegumā minimālais attiecināmo izmaksu apmērs projektā nav mazāks par  200 000 (ieskaitot) </w:t>
            </w:r>
            <w:r w:rsidR="00000000" w:rsidRPr="00000000" w:rsidDel="00000000">
              <w:rPr>
                <w:i w:val="1"/>
                <w:rtl w:val="0"/>
              </w:rPr>
              <w:t xml:space="preserve">euro</w:t>
            </w:r>
            <w:r w:rsidR="00000000" w:rsidRPr="00000000" w:rsidDel="00000000">
              <w:rPr>
                <w:rtl w:val="0"/>
              </w:rPr>
              <w:t xml:space="preserve">, ja netiek piemēroti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noteikumu projekta 16.punktā minētā  atšķirīga ierobežojuma noteikšanu starp projektiem, kuriem ir paredzēts komercdarbības atbalsts, un tiem, kuriem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ja projekta iesniegumā ir norādījis un paredz, ka tiks gūti ieņēmumi projekta dzīves laikā, atbilstoši sadarbības iestādes izstrādātajiem metodiskajiem norādījumiem pasākuma trešajā kārtā veic projekta izmaksu un ieguvumu analīzi, izņemot ja projekta kopējās attiecināmās izmaksas ir mazākas par 1 000 000 </w:t>
            </w:r>
            <w:r w:rsidR="00000000" w:rsidRPr="00000000" w:rsidDel="00000000">
              <w:rPr>
                <w:i w:val="1"/>
                <w:rtl w:val="0"/>
              </w:rPr>
              <w:t xml:space="preserve">euro </w:t>
            </w:r>
            <w:r w:rsidR="00000000" w:rsidRPr="00000000" w:rsidDel="00000000">
              <w:rPr>
                <w:rtl w:val="0"/>
              </w:rPr>
              <w:t xml:space="preserve">(ieskaitot), un ceturtajā atlases kārtā veic finanšu analīzi, nodalot projektā īstenotās sadarbības partnera aktivitātes, kurām sniegtais atbalsts kvalificējams kā komercdarbības atbalsts  un nodrošinot, ka projekta iesniedzēju un pārējo sadarbības partneru (ja attiecināms), kuri nav saimnieciskās darbības veicēji, ieņēmumi projekta dzīves ciklā ik gadu nepārsniedz 50 procentus no infrastruktūras un atjaunoto teritoriju uzturēšanas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31.punkta redakciju, ņemot vērā to, ka trešajā atlases kārtā izmaksu un ieguvumu analīze jāveic neatkarīgi no tā, vai projekta dzīves cikla laikā tiks gūti ieņēmumi. Esošā redakcija paredz, ka trešajā atlases kārtā izmaksu un ieguvumu analīze jāveic vien tad, ja projektā paredzēti ieņēmumi. Ieņēmumi projektā kā pazīme finanšu analīzes nepieciešamībai ir nepieciešama ceturtajā atlases kārtā, kur svarīgi ievērot nosacījumu par to, ka projekta dzīves cikla laikā ieņēmumi ik gadu nepārsniedz 50 procentus no infrastruktūras un atjaunoto teritoriju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skaidrojumu anotācijā, jo izmaksu un ieguvumu analīzēs primārais mērķis ir noskaidrot projekta atdevi sabiedrībai, nevis noteikt ieņēmumu attiecību pret infrastruktūras uzturēšanas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jau esošās antropogēnas slodzes mazinošās infrastruktūras atjaunošana, demontāža, pārbūve un pielāgošana dažādu sabiedrības grupu pieejamībai, nemainot būvapjomu;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anotācijā vai svītrot apakšpunktā minēto nosacījumu, ka esošās infrastruktūras pielāgošana dažādu sabiedrības grupu pieejamībai iespējama tikai “nemainot būvapjomu”, ņemot vērā, ka šādu nosacījumu būtu grūti piemērot, piemēram, ja esošajā infrastruktūrā ir izbūvētas tikai kāpnes, bet ir nepieciešams nodrošināt pieejamību, izbūvējot rampu, kas noteikti mainītu kopējo būvapjomu, tomēr nebūtu pretrunā ar sasniedzamo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36.1.5. autoruzraudzības un būvdarbu būvuzraudzības izmaksas atbilstoši būvniecības jomu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noteikumu projektu papildināt ar ierobežojumu, ka visas noteikumu projekta 36.1.5.punktā minētās izmaksas kopā nepārsniedz desmit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36.6.2. būves un ar to funkcionāli saistītās infrastruktūras būvniecība, tai skaitā inženiertehnisko komunikāciju, iekšējo un ārējo inženiertīklu ierīkošana un ar tiem saistīto būvju izveide, iekārtu un tāda aprīkojuma iegāde un uzstādīšana, kas paredzēts būvprojektā un nepieciešams būves vai tās daļas pieņemšanai ekspluatācijā vai kas nepieciešams būves funkcionalitātes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36.6.2. apakšpunktu un/vai attiecīgi anotāciju, norādot kas šajā noteikumu projekta kontekstā ir saprotams ar terminu "būve". Norādām, ka, ja tiek celta jauna ēka, tai ir jābūt bezemisiju ēkai. Vienlaikus aicinām izvērtēt nepieciešamību papildināt noteikumu projektu ar Jaunās Eiropas Bauhaus iniciatīvas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pakalpojumu līgumu izmaksas, izņemot šo noteikumu </w:t>
            </w:r>
            <w:r w:rsidR="00000000" w:rsidRPr="00000000" w:rsidDel="00000000">
              <w:rPr>
                <w:rtl w:val="0"/>
              </w:rPr>
              <w:t xml:space="preserve">36.1</w:t>
            </w:r>
            <w:r w:rsidR="00000000" w:rsidRPr="00000000" w:rsidDel="00000000">
              <w:rPr>
                <w:rtl w:val="0"/>
              </w:rPr>
              <w:t xml:space="preserve">. apakšpunktā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kādu pakalpojumu līgumu izmaksas plānotas noteikumu projekta 36.12. apakšpunktā. Vēršam uzmanību, ka arī projekta vadības un īstenošanas nodrošināšanai plānotās personāla izmaksas (36.14.apakšpunkts) kā papildu izmaksas uz pakalpojuma līguma pamata nebūtu atbalstāmas. Līdz ar to lūdzam precizēt noteikuma projekta 36.12.apakšpunktu.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tiešās attiecināmās projekta vadības un īstenošanas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36.14. apakšpunktā un anotācijā ietverto informāciju par vienotajām personāla izmaksu likmēm, t.sk. precizējot likmju apmērus, atbilstoši ES fondu Vadošās iestādes sniegtajiem komentāriem vienotās personāla izmaksu likmes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36.18. izmaksas horizontālo principu  “Nenodarīt būtisku kaitējumu” un “Klimatdrošināšana” nosacījumu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36.18.apakšpunktu vai pamatot anotācijā šādu izmaksu nepieciešamību, minot konkrētus piemērus, kādos gadījumos šādas izmaksas var tikt iekļautas projekta iesniegumā, ņemot vērā, ka horizontālā principa “Nenodarīt būtisku kaitējumu” prasības tiek integrētas iepirkumu dokumentācijā, ko nosaka MK noteikumu 45. punkts, un būvdarbu un pakalpojumu līgumos, ko nosaka MK noteikumu 46.12. apakšpunkts, tādējādi prasību nodrošināšana tiek iekļauta līgumu izmaksās un nav nepieciešams šādas izmaksas izdalīt atsevišķi. Tāpat kritēriju metodika neparedz ekspertu piesaisti, lai izvērtētu klimata riskus horizontālā principa “Klimatdrošināšana” ietvaros, un projekta iesniedzējs to var veikt bez ekspertu piesaistes, izmantojot, piemēram, kritēriju metodikā piedāvāto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projektā procentuālajam sadalījumam, ņemot vērā darbinieka rīkojumā noteikto darba laika proporciju vai atbilstoši iepriekšējā mēnesī faktiski nostrādātajam darba laikam uz brīdi, kad darbinieks saņem darba vietas aprīkojumu lietošanā, ņemot vērā darbinieka iesaistes periodu projektā pret projekta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personāla izmaksu segšanai tiek piemērotā vienotā personāla izmaksu likme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punktu, aicinām izvērtēt, vai šādu izmaksu iekļaušana tiešajās attiecināmajās izmaksās neradīs papildu administratīvo slogu. Aicinām izvērtēt iespējas šādu izmaksu segšanu paredzēt no netiešo izmaksu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pasākuma trešajā un ceturtajā atlases kārtā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sadarbības partneru sadārdzinājuma izmaksas, kuru finansēšana būtu kvalificējama kā komercdarbības atbalsts, finansējamas no līdzekļiem, kas ir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46.4. apakšpunktu ar atsauci arī uz noteikumu projekta 21.1.2. un 21.1.3. apakšpunktā minētajiem sadarbības partneriem un to sadārdzinājuma izmaksām, kā arī 21.1.4. apakšpunktā minētajiem sadarbības partneriem, uz kuriem neattiecas noteikumu projekta 29. punktā ietvertais nosacījums par saimnieciskas darbības veikšanu, proti, kuri tiek piesaistīti kā sadarbības partneri, bet kuri neveic saimniecisko darbību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nodrošina, ka nekustamais īpašums, kurā tiks veiktas projektā paredzētās darbības, ir projekta iesniedzēja un sadarbības partnera (ja attiecināms) īpašumā, turējumā vai valdījumā projekta īstenošanas laikā visā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īpašumtiesības (tostarp turējums un valdījums)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 1. punktus paredz, ka </w:t>
            </w:r>
            <w:r w:rsidR="00000000" w:rsidRPr="00000000" w:rsidDel="00000000">
              <w:rPr>
                <w:i w:val="1"/>
                <w:rtl w:val="0"/>
              </w:rPr>
              <w:t xml:space="preserve">dalībvalsts atmaksā iemaksas, kas no fondiem saņemtas darbībai, tostarp investīcijas infrastruktūrā vai produktīvas investīcijas, ja piecu gadu laikā pēc galīgā maksājuma saņēmējam vai attiecīgā gadījumā laikposmā, kas paredzēts valsts atbalsta noteikumos, saistībā ar minēto darbību notiek kādas no šādām izmaiņām:</w:t>
            </w:r>
            <w:r w:rsidR="00000000" w:rsidRPr="00000000" w:rsidDel="00000000">
              <w:rPr>
                <w:i w:val="1"/>
                <w:rtl w:val="0"/>
              </w:rPr>
              <w:t xml:space="preserve">a) ražošanas darbības izbeigšana vai pārvietošana ārpus NUTS 2. līmeņa reģiona, kurā tā saņēma atbalstu;</w:t>
            </w:r>
            <w:r w:rsidR="00000000" w:rsidRPr="00000000" w:rsidDel="00000000">
              <w:rPr>
                <w:i w:val="1"/>
                <w:rtl w:val="0"/>
              </w:rPr>
              <w:t xml:space="preserve">b) tādas izmaiņas īpašumtiesībās uz infrastruktūras elementu, kuras uzņēmumam vai publiskā sektora iestādei sniedz nepamatotas priekšrocības;</w:t>
            </w:r>
            <w:r w:rsidR="00000000" w:rsidRPr="00000000" w:rsidDel="00000000">
              <w:rPr>
                <w:i w:val="1"/>
                <w:rtl w:val="0"/>
              </w:rPr>
              <w:t xml:space="preserve">c) būtiskas izmaiņas,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panta 2. punkta "c" un "d" apakšpunkta nosacījumi par gadījumiem, kādos nepiemēro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saskaņā ar regulas Nr.651/2014 nosacījumiem, netiek piešķirts neatbalstāmās darbībām, kas minētas 1.panta 2.punkta c) un d) apakšpunktā, lūdzam pirms vārda panta pievienot atsauci uz  regulas Nr.651/2014 1.pantu, tas ir, skaitli "1.".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1. panta 2. punkta "c" un "d" apakšpunkta nosacījumi par gadījumiem, kādos nepiemēro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sinerģiju un papildinātību ar Eiropas Savienības un citiem atbalsta instrumentiem, kā arī kā tiks nodrošināta demarkācija.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Regulas 2021/1060 64. panta 1. punkta "c" apakšpunkta "i" punkta izriet, ka </w:t>
            </w:r>
            <w:r w:rsidR="00000000" w:rsidRPr="00000000" w:rsidDel="00000000">
              <w:rPr>
                <w:u w:val="single"/>
                <w:rtl w:val="0"/>
              </w:rPr>
              <w:t xml:space="preserve">darbībām (t.i. projektiem), kuru kopējās izmaksas ir mazākas nekā 5 000 000 </w:t>
            </w:r>
            <w:r w:rsidR="00000000" w:rsidRPr="00000000" w:rsidDel="00000000">
              <w:rPr>
                <w:i w:val="1"/>
                <w:u w:val="single"/>
                <w:rtl w:val="0"/>
              </w:rPr>
              <w:t xml:space="preserve">euro</w:t>
            </w:r>
            <w:r w:rsidR="00000000" w:rsidRPr="00000000" w:rsidDel="00000000">
              <w:rPr>
                <w:u w:val="single"/>
                <w:rtl w:val="0"/>
              </w:rPr>
              <w:t xml:space="preserve"> (ieskaitot pievienotās vērtības nodokli), pievienotās vērtības nodokļa izmaksas ir attiecināmas</w:t>
            </w:r>
            <w:r w:rsidR="00000000" w:rsidRPr="00000000" w:rsidDel="00000000">
              <w:rPr>
                <w:rtl w:val="0"/>
              </w:rPr>
              <w:t xml:space="preserve">; savukārt no "ii" punkta izriet, ka </w:t>
            </w:r>
            <w:r w:rsidR="00000000" w:rsidRPr="00000000" w:rsidDel="00000000">
              <w:rPr>
                <w:u w:val="single"/>
                <w:rtl w:val="0"/>
              </w:rPr>
              <w:t xml:space="preserve">darbībām (t.i. projektiem), kuru kopējās izmaksas ir vismaz 5 000 000 </w:t>
            </w:r>
            <w:r w:rsidR="00000000" w:rsidRPr="00000000" w:rsidDel="00000000">
              <w:rPr>
                <w:i w:val="1"/>
                <w:u w:val="single"/>
                <w:rtl w:val="0"/>
              </w:rPr>
              <w:t xml:space="preserve">euro</w:t>
            </w:r>
            <w:r w:rsidR="00000000" w:rsidRPr="00000000" w:rsidDel="00000000">
              <w:rPr>
                <w:u w:val="single"/>
                <w:rtl w:val="0"/>
              </w:rPr>
              <w:t xml:space="preserve"> (ieskaitot pievienotās vērtības nodokli), pievienotās vērtības nodokļa izmaksas ir attiecināmas gadījumos, kad tas nav atgūstams saskaņā ar pievienotās vērtības nodokli reglamentējošiem valsts tiesību aktiem</w:t>
            </w:r>
            <w:r w:rsidR="00000000" w:rsidRPr="00000000" w:rsidDel="00000000">
              <w:rPr>
                <w:rtl w:val="0"/>
              </w:rPr>
              <w:t xml:space="preserve">. Savukārt projektos, kur tiek sniegts komercdarbības atbalsts, neatkarīgi no projekta kopējo izmaksu summas, pievienotās vērtības nodokļa izmaksas ir attiecināmas gadījumos, kad tas nav atgūstams saskaņā ar pievienotās vērtības nodokli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anotācijas 1.3. sadaļas apakšsadaļā "Risinājuma apraksts"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valsts budžeta sadalījumu pa gadiem, jo saskaitot kopā norādīto valsts budžeta finansējumu kopsumma veidojas par  1 euro mazāk. t.i.  2 823 529 euro apmērā, nevis kā norādīts 2 823 530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19.12.2024.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19.12.2024.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