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15.1.3. integrēta teritorijas attīstības plānošana un īstenošana, pielāgojoties demogrāfiskajām un klimata pārmaiņām, tai skaitā publiskās ārtelpas attīstība;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pašvaldību būtisko iesaisti Latviešu vēsturisko zemju likuma, Kultūras centru likuma un likuma Par kultūras pieminekļu aizsardzību grozījumu ieviešanā, kā arī nepieciešamību ieviest Eiropas Komisijas Jaunā Eiropas Bauhaus iniciatīvas principus, ierosinām papildināt pašvaldību kapacitātes stiprināšanas aktivitātes, tajās iekļaujot kultūras mantojuma integrētu pārvaldību un Jaunā Eiropas Bauhaus principu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integrēta teritorijas attīstības plānošana un īstenošana, pielāgojoties demogrāfiskajām un klimata pārmaiņām, tai skaitā kultūras mantojuma integrēta pārvaldība un publiskās ārtelpas attīstība atbilstoši "Jaunā Eiropas Bauhaus" principiem;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Mūrniece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15.12.2022.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15.12.2022.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Atzinumi_22-TA-2965.docx</dc:title>
</cp:coreProperties>
</file>

<file path=docProps/custom.xml><?xml version="1.0" encoding="utf-8"?>
<Properties xmlns="http://schemas.openxmlformats.org/officeDocument/2006/custom-properties" xmlns:vt="http://schemas.openxmlformats.org/officeDocument/2006/docPropsVTypes"/>
</file>