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komersanti, kas gūst labumu no attīstītās publiskās infrastruktūras – vismaz 45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sniegt skaidrojumu, vai projekti tiks savstarpēji salīdzināti pēc sadarbības partneru skaitu, t.i., priekšroka atlases ietvaros tiks dota projektiem ar lielāku sadarbības partneru skaitu vai arī pietiek, ka viens projekta sadarbības partneris nodrošina pilnīgu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500 metriem nacionālas un reģionālas nozīmes attīstības centros (pilsētās) un līdz 1 500 metriem novadu teritorijā ārpus nacionālas un reģionālas nozīmes attīstības centriem, ja komersants pamato ārpus uzņēmējdarbības teritorijas radīto rādītāju sasaisti ar savu saimniecisko darbību, ko tas veic uzņēmējdarbības teritorijā. Informāciju norāda projektam pievienotajā kartogrāfiskajā materiālā.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vienlīdzīgu un taisnīgu pieeju attiecībā uz rādītāju vērtību attiecināmību, nosakot 1500 metru distanci neatkarīgi no teritoriālās vienības, līdz ar to lūdzam Noteikuma projekta 10.4.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1 500 metriem, ja komersants pamato ārpus uzņēmējdarbības teritorijas radīto rādītāju sasaisti ar savu saimniecisko darbību, ko tas veic uzņēmējdarbības teritorijā. Informāciju norāda projektam pievienotajā kartogrāfiskajā materiālā.”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Atbilstošas korekcijas nepieciešamas veikt arī Noteikuma projekta 35.3. apakšpunktā (skatīt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trīs projektu iesniegumu atlases kārtās (turpmāk – atlases kārta):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13.1. un 14.1.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plānoto kārtību (ietverot termiņus) un projektu atlases kritērijiem, saskaņā ar kuriem plānošanas reģioni noteiks projektu iesniedzējus, kas kvalificēsies atbalsta saņemšanai ierobežotas projektu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sniegt informāciju pēc kādiem kritērijiem un nosacījumiem plānošanas reģioni vērtēs iesniegtos pašvaldības projektu, lai plānošanas reģions varētu pieņemt pozitīvu lēmumu par pirmās atlases kārtas atbalstāmajiem projektiem un virzītu to tālāk VARAM atbalsta saņemšanai atbilstoši MK noteikumu 18.punktam.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iestāde izsludina pirmo atlases kārtu, nosūtot uzaicinājumu plānošanas reģionu attīstības programmās paredzēto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sniegt skaidrojumu par SAMP 5.1.1.1. atlašu izsludināšanas kārtību, t.i., par plānoto atlašu izsludināšanas grafiku pirmajai un otrajai atlasei (t.sk. priekšatlase), vai šīs atlases tiks izsludinātas vienlaikus vai secīgi viena aiz otras; kā arī vai Sadarbības iestāde izsludinās atlasi pēc 2024.gada 1.jūnija – datuma līdz kuram plānošanas reģionam ir jāpieņem lēmums par atbalstāmajiem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sniegt skaidrojumu MK noteikumu anotācijā, kurā brīdī plānošanas reģionam ir jāsaņem  pozitīvs  Vides aizsardzības un reģionālās attīstības ministrijas atzinums, t.i., pirms projekta iesniegšanas CFLA vai pirms 01.06.2024. jeb pirms plānošanas reģiona lēmuma pieņemšanas, vai kāds cits no VARAM redzējuma variantiem.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līdz 2024. gada 31. decembrim sadarbības iestādē netiek iesniegti plānošanas reģionu attīstības programmās paredzētie projekti par visu pirmās atlases kārtas ietvaros pieejamo Eiropas Reģionālā attīstības fonda finansējumu, finansējuma atlikumu novirza otrajai atlases kārtai attiecīgajam plānošanas reģionam, kuram pieejamais Eiropas Reģionālā attīstības fonda finansējums pirmajā atlases kārtā netika piesaistīs.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SAMP 5.1.1.1. mērķis un atbalstāmās darbības pārklājas ar Programmas 6.1.1.3. pasākuma „Atbalsts uzņēmējdarbībai nepieciešamās publiskās infrastruktūras attīstībai, veicinot pāreju uz klimatneitrālu ekonomiku” (turpmāk – 6.1.1.3. pasākums) un Atveseļošanas un noturības mehānisma plāna (turpmāk – AF plāns) 3.1.1.3.i. investīcijas “Investīcijas uzņēmējdarbības publiskajā infrastruktūrā industriālo parku un teritoriju attīstīšanai reģionos” (turpmāk – 3.1.1.3.i. investīcija) mērķiem un atbalstāmajām darbībām, tikai 6.1.1.3. pasākuma un 3.1.1.3.i. investīcijas atbalstāmajā teritorijā nav iekļauta Rīgas reģions, aicinām VARAM izvērtēt iespēju, ka SAMP 5.1.1.1. 1.kārtas un 2.kārtas atlikumus, kas radušies  reģionos, kas nav Rīgas reģions, novirzīt Rīgas plānošanas reģiona un tās pašvaldības projektiem. Vēršam uzmanību, ka 6.1.1.3.pasākumā un 3.1.1.3.i investīciju kopumā Latgales, Vidzemes, Zemgales un Kurzemes plānošanas reģionu pašvaldību projektiem tiek novirzītas ES investīcijas vairāk kā 137 milj. euro un netiek izvirzīts tik “stingrs” sasniedzamais radītājs kā darba algu fonda palielinājums, kas dod šo plānošanas periodu pašvaldībām attīstīt stratēģiski nozīmīgākus un finansiāli apjomīgākus infrastruktūras projektus kā Rīgas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plānošanas reģionam noteikt minimālo pieejamo ERAF finansējumu ERAF maksimālās likmes apmērā 5 milj. euro, kas noteikts MK noteikumu 23.punktā.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skaidrot, ja projekta iesniedzējs ir pašvaldības kapitālsabiedrība, vai šajā gadījumā tā pati tiek uzskatīta par komersantu un var garantēt rādītāju sasniegšanu, vai arī šajā gadījumā nepieciešama sadarbības partnera iesaiste, t.i., cita kapitālsabiedrība, juridiska persona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slēdzot rakstisku sadarbības līgumu, var piesaistīt šādus sadarbības partnerus, ja to iesaiste ir pamatota un nepieciešama projekta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uzņēmējdarbības veicināšanas aktivitātes pašvaldībā var tikt deleģētas nevalstisko organizāciju sektoram saskaņā Vides aizsardzības un reģionālās attīstības ministrijas izstrādātajām vadlīnijām “Pārvaldes uzdevumu deleģēšana pašvaldībās” (turpmāk – Vadlīnijas). Vadlīnijās norādīts: “Pašvaldība ir tiesīga deleģēt pārvaldes uzdevuma izpildi kādai citai publiskai personai, piemēram, citai pašvaldībai, kas ir bieži sastopama pašvaldību prakse, tā arī privātpersonai, ar to saprotot privāto tiesību subjektus, piemēram, kapitālsabiedrības (tajā skaitā pašvaldību kapitālsabiedrības), biedrības,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nevalstiskās organizācijas (biedrības, nodibinājumi) var palīdzēt sasniegt 5.1.1.1. pasākuma „Infrastruktūra uzņēmējdarbības atbalstam” mērķi – palielināt privāto investīciju apjomu pilsētu funkcionālajās teritorijās – pie nosacījuma, ja to darbības mērķis ir saistīts ar uzņēmējdarbības attīstības veicināšanu. Nevalstisko organizāciju, kurām deleģēti pašvaldības uzdevumi, darbību mērķi nav pretrunā ar pašvaldības doto uzdevumu un uzņēmējdarbības veicināšanu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pašvaldībās komercdarbības veicināšanā un attīstībā nozīmīgu ieguldījumu sniedz biedrības un nodibinājumi, kas dibināti ar mērķi veicināt uzņēmējdarbību pašvaldībās, rosinām: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26. punktu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slēdzot rakstisku sadarbības līgumu, var piesaistīt šādus sadarbības partnerus, ja to iesaiste ir pamatota un nepieciešama 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nevalstiskās organizācijas (biedrības un nodibinājumi), kuras ir izveidotas ar mērķi veicināt uzņēmējdarbību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Noteikumu projekta 26.5.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pašvaldības kapitālsabiedrību vai cita privāto tiesību juridiskā persona, kas  veic pašvaldības deleģēto pārvaldes uzdevumu izpildi vai ir noslēgusi pakalpojumu līgumu par sabiedrisko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projekta iesniegumā pamato pieprasījumu pēc publiskās infrastruktūras, kuru paredzēts attīstīt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pamatojums, t. sk. dokumenti nepieciešami, lai pamatotu pieprasījumu publiskās infrastruktūras izbūvei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par 5.1.1. specifisko atbalsta mērķi “Vietējās teritorijas integrētās sociālās, ekonomiskās un vides attīstības un kultūras mantojuma, tūrisma un drošības veicināšana pilsētu funkcionālajās teritorijās” nav noteikts ierobežojums, ka pašvaldības infrastruktūras attīstība uzņēmējdarbības veicināšanai neietver nepieciešamo aprīkojumu. Līdz ar to vēršam uzmanību, ka infrastruktūra uzņēmējdarbības atbalstam var būt arī biznesa inkubatori, koprades centri, koplietošanas laboratorijas, testēšanas centri un digitālās inovācijas centri,  ieskaitot ar to darbību saistīto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atbalsts tiek plānots arī koplietošanas iekārtu iegādei ar mērķi ļaut jauniem uzņēmējiem veidot produktu prototipus, rezultātā veicinot uzņēmējdarbību un attīstot komercdarbību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33. punktu ar diviem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  investoru piesaistes nodrošināšana, t. sk. mārketinga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iekārtu un aprīkojuma, kuras nepieciešamas uzņēmējdarbības atbalstam,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tiešās 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 punktā minēto, lūdzam papildināt Noteikumu projekta 35. punktu ar jauniem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investoru piesaistes un mārketinga izmaksas, nepārsniedzot 5%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iekārtu un aprīkojuma, kuras nepieciešamas uzņēmējdarbības atbalstam,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siltuma sezonālās uzkrāšanas baseini, kas uzkrāj siltuma enerģijas atlikumus no zaļās industrijas ražotnēm, ir būves, nevis sistēmas. Rosinām terminu “inženiertehniskā sistēma” aizstāt ar terminu “inženiertehniskās būves un sistēmas”, Noteikuma projekta 33.5. apakšpunktu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inženiertehniskās būves, sistēmas un iekārtas, kas uzkrāj vai ražo enerģiju no atjaunojamajiem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nepieciešams veikt korekcijas arī Noteikumu projekta apakšpunktos Nr. 35.1.8.., 35.2.2., 35.3.5., 50.1., 50.2.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atpūtas zonu ierīkošana darbiniekiem un labiekārtojuma elementu uzstādīšana  (videi un personām ar dažādiem funkcionāliem traucējumiem draudzīga apgaismojuma sistēmas izbūve vai esošās apgaismojuma sistēmas renovācija,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Pasākuma ietvaros netiek atbalstītas mazās arhitektūras formas ar māksliniecisko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MK noteikumu anotācijā sniegt skaidrojumu un piemērus atbalstāmajai darbībai “mazās arhitekta formas ar māksliniecisko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ielu, ceļu, funkcionālo savienojumu un ar tiem saistītās infrastruktūras būvniecības, pārbūves vai atjaunošanas izmaksas projekta iesniedzēja noteiktajā uzņēmējdarbības teritorijā. Funkcionālais savienojums ir ielas vai ceļa posms, kas nepārsniedz divu kilometru garumu līdz projekta iesniedzēja noteiktajai uzņēmējdarbības teritorijai un tā garumā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1 500 metriem novadu teritorijā ārpus nacionālas un reģionālas nozīmes attīstības centriem. Tai skaitā 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vienlīdzīgu un taisnīgu pieeju attiecībā uz rādītāju vērtību attiecināmību, nosakot 400 metru un 1500 metru distanci neatkarīgi no teritoriālās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35.3.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ielu, ceļu, funkcionālo savienojumu un ar tiem saistītās infrastruktūras būvniecības, pārbūves vai atjaunošanas izmaksas projekta iesniedzēja noteiktajā uzņēmējdarbības teritorijā. Funkcionālais savienojums ir ielas vai ceļa posms, kas nepārsniedz divu kilometru garumu līdz projekta iesniedzēja noteiktajai uzņēmējdarbības teritorijai un tā garumā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kad funkcionālais savienojums ir vienīgā alternatīva nokļūšanai no projekta iesniedzēja noteiktās uzņēmējdarbības teritorijas līdz publisko ceļu tīklam vai funkcionālais savienojums ir turpinājums tās pašas ielas vai tā paša ceļa posmam, kas nav garāks par 1 500 metriem. Tai skaitā attiecināmās izmaksas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06.07.2023.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06.07.2023.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