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vēja elektrostaciju ierīkošanas iespējām nacionālās nozīmes lauksaimniecības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rosina saskaņot  informatīvajā ziņojumā par vēja elektrostaciju ierīkošanas iespējām nacionālās nozīmes lauksaimniecības teritorijās (turpmāk – informatīvais ziņojums) un Ministru kabineta sēdes protokollēmumā par Informatīvo ziņojumu  (turpmāk – Protokollēmums)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2.punkts paredz atbalstīt informatīvajā ziņojumā sadaļā “Kopsavilkums par vēja elektrostaciju ierīkošanas iespējām nacionālās nozīmes lauksaimniecības teritorijās " ietverto 1.scenāriju, informatīvā ziņojuma sadaļa “Zemkopības ministrijas secinājumi” būtu papildināma ar secinājumu, ka būtu pamatoti īstenot informatīvā ziņojuma sadaļā "Kopsavilkums par vēja elektrostaciju ierīkošanas iespējām nacionālās nozīmes lauksaimniecības teritorijās" minēto 1.scenāriju, saskaņā ar kuru nacionālās nozīmes lauksaimniecības teritorijas nav pamats nodot vēja elektrostaciju ierīkošanai un lauksaimnieciskai izmantošanai ir jāpaliek par galveno saimniecisko darbību uz minētajām teritorijām, un attiecīgi esošais nacionālās nozīmes lauksaimniecības teritoriju normatīvais regulējums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sadaļā "Kopsavilkums par vēja elektrostaciju ierīkošanas iespējām nacionālās nozīmes lauksaimniecības teritorijās " ietverto 1.scenāriju.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priekšlikumā par Informatīvo ziņojumu minēto un nodrošinot Protokollēmuma skaidrību, Ministrija rosina apvienot Protokollēmuma 2. un 3.punktu, izsakot Protoklollēmuma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sadaļā "Kopsavilkums par vēja elektrostaciju ierīkošanas iespējām nacionālās nozīmes lauksaimniecības teritorijās " ietverto 1.scenāriju, kas paredz saglabāt nacionālās nozīmes lauksaimniecības teritorijas, uz kurām galvenā saimnieciskā darbība ir lauksaimnieciskā izmantošana,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09.10.2023.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09.10.2023.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Atzinumi_23-TA-1016.docx</dc:title>
</cp:coreProperties>
</file>

<file path=docProps/custom.xml><?xml version="1.0" encoding="utf-8"?>
<Properties xmlns="http://schemas.openxmlformats.org/officeDocument/2006/custom-properties" xmlns:vt="http://schemas.openxmlformats.org/officeDocument/2006/docPropsVTypes"/>
</file>